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81" w:rsidRPr="00EB2DD9" w:rsidRDefault="00BD2E81" w:rsidP="001B6FCD">
      <w:pPr>
        <w:jc w:val="both"/>
      </w:pPr>
    </w:p>
    <w:p w:rsidR="00650223" w:rsidRPr="00EB2DD9" w:rsidRDefault="00650223" w:rsidP="001B6FCD">
      <w:pPr>
        <w:spacing w:line="360" w:lineRule="auto"/>
        <w:jc w:val="both"/>
        <w:rPr>
          <w:b/>
          <w:sz w:val="44"/>
          <w:szCs w:val="44"/>
        </w:rPr>
      </w:pPr>
    </w:p>
    <w:p w:rsidR="00650223" w:rsidRPr="00EB2DD9" w:rsidRDefault="00650223" w:rsidP="001B6FCD">
      <w:pPr>
        <w:spacing w:line="360" w:lineRule="auto"/>
        <w:jc w:val="both"/>
        <w:rPr>
          <w:b/>
          <w:sz w:val="44"/>
          <w:szCs w:val="44"/>
        </w:rPr>
      </w:pPr>
    </w:p>
    <w:p w:rsidR="00BD2E81" w:rsidRPr="00EB2DD9" w:rsidRDefault="00650223" w:rsidP="00174B72">
      <w:pPr>
        <w:shd w:val="clear" w:color="auto" w:fill="EAEAEA"/>
        <w:spacing w:line="360" w:lineRule="auto"/>
        <w:jc w:val="center"/>
        <w:rPr>
          <w:b/>
          <w:sz w:val="44"/>
          <w:szCs w:val="44"/>
          <w:lang w:val="pt-BR"/>
        </w:rPr>
      </w:pPr>
      <w:r w:rsidRPr="00EB2DD9">
        <w:rPr>
          <w:b/>
          <w:sz w:val="44"/>
          <w:szCs w:val="44"/>
          <w:lang w:val="pt-BR"/>
        </w:rPr>
        <w:t>Tabela e përmbajtje</w:t>
      </w:r>
      <w:r w:rsidR="00111CB2" w:rsidRPr="00EB2DD9">
        <w:rPr>
          <w:b/>
          <w:sz w:val="44"/>
          <w:szCs w:val="44"/>
          <w:lang w:val="pt-BR"/>
        </w:rPr>
        <w:t>s</w:t>
      </w:r>
    </w:p>
    <w:p w:rsidR="00BD2E81" w:rsidRPr="00EB2DD9" w:rsidRDefault="00BD2E81" w:rsidP="001B6FCD">
      <w:pPr>
        <w:jc w:val="both"/>
        <w:rPr>
          <w:sz w:val="22"/>
          <w:szCs w:val="22"/>
          <w:lang w:val="pt-BR"/>
        </w:rPr>
      </w:pPr>
    </w:p>
    <w:p w:rsidR="00650223" w:rsidRPr="00EB2DD9" w:rsidRDefault="00650223" w:rsidP="001B6FCD">
      <w:pPr>
        <w:pStyle w:val="TOC2"/>
        <w:numPr>
          <w:ilvl w:val="0"/>
          <w:numId w:val="0"/>
        </w:numPr>
        <w:jc w:val="both"/>
        <w:rPr>
          <w:rFonts w:ascii="Times New Roman" w:hAnsi="Times New Roman"/>
          <w:lang w:val="pt-BR"/>
        </w:rPr>
      </w:pPr>
    </w:p>
    <w:p w:rsidR="00650223" w:rsidRPr="00EB2DD9" w:rsidRDefault="00650223" w:rsidP="001B6FCD">
      <w:pPr>
        <w:jc w:val="both"/>
        <w:rPr>
          <w:lang w:val="pt-BR"/>
        </w:rPr>
      </w:pPr>
    </w:p>
    <w:p w:rsidR="00650223" w:rsidRPr="00EB2DD9" w:rsidRDefault="00D87CD1" w:rsidP="00D87CD1">
      <w:pPr>
        <w:tabs>
          <w:tab w:val="left" w:pos="5839"/>
        </w:tabs>
        <w:jc w:val="both"/>
        <w:rPr>
          <w:lang w:val="pt-BR"/>
        </w:rPr>
      </w:pPr>
      <w:r>
        <w:rPr>
          <w:lang w:val="pt-BR"/>
        </w:rPr>
        <w:tab/>
      </w:r>
    </w:p>
    <w:p w:rsidR="00505DCF" w:rsidRPr="00EB2DD9" w:rsidRDefault="00505DCF" w:rsidP="001B6FCD">
      <w:pPr>
        <w:jc w:val="both"/>
        <w:rPr>
          <w:lang w:val="pt-BR"/>
        </w:rPr>
      </w:pPr>
    </w:p>
    <w:p w:rsidR="00650223" w:rsidRPr="00EB2DD9" w:rsidRDefault="00650223" w:rsidP="001B6FCD">
      <w:pPr>
        <w:jc w:val="both"/>
        <w:rPr>
          <w:lang w:val="pt-BR"/>
        </w:rPr>
      </w:pPr>
    </w:p>
    <w:p w:rsidR="006D2CDD" w:rsidRPr="00EB2DD9" w:rsidRDefault="006D2CDD" w:rsidP="001B6FCD">
      <w:pPr>
        <w:jc w:val="both"/>
        <w:rPr>
          <w:lang w:val="pt-BR"/>
        </w:rPr>
      </w:pPr>
    </w:p>
    <w:p w:rsidR="006D2CDD" w:rsidRPr="00EB2DD9" w:rsidRDefault="006D2CDD" w:rsidP="001B6FCD">
      <w:pPr>
        <w:jc w:val="both"/>
        <w:rPr>
          <w:lang w:val="pt-BR"/>
        </w:rPr>
      </w:pPr>
    </w:p>
    <w:p w:rsidR="00BD2E81" w:rsidRPr="00EB2DD9" w:rsidRDefault="00BD2E81" w:rsidP="001B6FCD">
      <w:pPr>
        <w:jc w:val="both"/>
        <w:rPr>
          <w:lang w:val="it-IT"/>
        </w:rPr>
      </w:pPr>
    </w:p>
    <w:p w:rsidR="00BD2E81" w:rsidRPr="00EB2DD9" w:rsidRDefault="00BD2E81" w:rsidP="001B6FCD">
      <w:pPr>
        <w:jc w:val="both"/>
        <w:rPr>
          <w:lang w:val="it-IT"/>
        </w:rPr>
      </w:pPr>
    </w:p>
    <w:p w:rsidR="00BD2E81" w:rsidRPr="00EB2DD9" w:rsidRDefault="00BD2E81" w:rsidP="001B6FCD">
      <w:pPr>
        <w:jc w:val="both"/>
        <w:rPr>
          <w:lang w:val="it-IT"/>
        </w:rPr>
      </w:pPr>
    </w:p>
    <w:p w:rsidR="005D6BBE" w:rsidRPr="00EB2DD9" w:rsidRDefault="005D6BBE" w:rsidP="001B6FCD">
      <w:pPr>
        <w:jc w:val="both"/>
        <w:rPr>
          <w:sz w:val="22"/>
          <w:szCs w:val="22"/>
          <w:lang w:val="pt-BR"/>
        </w:rPr>
      </w:pPr>
    </w:p>
    <w:p w:rsidR="005D6BBE" w:rsidRPr="00EB2DD9" w:rsidRDefault="00B5775F" w:rsidP="001B6FCD">
      <w:pPr>
        <w:pStyle w:val="TOC2"/>
        <w:jc w:val="both"/>
        <w:rPr>
          <w:rFonts w:ascii="Times New Roman" w:hAnsi="Times New Roman"/>
          <w:lang w:val="pt-BR"/>
        </w:rPr>
      </w:pPr>
      <w:r w:rsidRPr="00EB2DD9">
        <w:rPr>
          <w:rFonts w:ascii="Times New Roman" w:hAnsi="Times New Roman"/>
          <w:lang w:val="pt-BR"/>
        </w:rPr>
        <w:t xml:space="preserve">Bilanci  kontabel  </w:t>
      </w:r>
      <w:r w:rsidR="005D6BBE" w:rsidRPr="00EB2DD9">
        <w:rPr>
          <w:rFonts w:ascii="Times New Roman" w:hAnsi="Times New Roman"/>
          <w:lang w:val="pt-BR"/>
        </w:rPr>
        <w:tab/>
      </w:r>
      <w:r w:rsidR="008425F7">
        <w:rPr>
          <w:rFonts w:ascii="Times New Roman" w:hAnsi="Times New Roman"/>
          <w:lang w:val="pt-BR"/>
        </w:rPr>
        <w:t>1</w:t>
      </w:r>
    </w:p>
    <w:p w:rsidR="005D6BBE" w:rsidRPr="00EB2DD9" w:rsidRDefault="005D6BBE" w:rsidP="001B6FCD">
      <w:pPr>
        <w:jc w:val="both"/>
        <w:rPr>
          <w:sz w:val="22"/>
          <w:szCs w:val="22"/>
          <w:lang w:val="pt-BR"/>
        </w:rPr>
      </w:pPr>
    </w:p>
    <w:p w:rsidR="005D6BBE" w:rsidRPr="00EB2DD9" w:rsidRDefault="00B5775F" w:rsidP="001B6FCD">
      <w:pPr>
        <w:pStyle w:val="TOC2"/>
        <w:jc w:val="both"/>
        <w:rPr>
          <w:rFonts w:ascii="Times New Roman" w:hAnsi="Times New Roman"/>
          <w:lang w:val="pt-BR"/>
        </w:rPr>
      </w:pPr>
      <w:r w:rsidRPr="00EB2DD9">
        <w:rPr>
          <w:rFonts w:ascii="Times New Roman" w:hAnsi="Times New Roman"/>
          <w:lang w:val="pt-BR"/>
        </w:rPr>
        <w:t xml:space="preserve">Pasqyra e te Ardhurave dhe Shpenzimeve </w:t>
      </w:r>
      <w:r w:rsidR="005D6BBE" w:rsidRPr="00EB2DD9">
        <w:rPr>
          <w:rFonts w:ascii="Times New Roman" w:hAnsi="Times New Roman"/>
          <w:lang w:val="pt-BR"/>
        </w:rPr>
        <w:t xml:space="preserve"> </w:t>
      </w:r>
      <w:r w:rsidR="005D6BBE" w:rsidRPr="00EB2DD9">
        <w:rPr>
          <w:rFonts w:ascii="Times New Roman" w:hAnsi="Times New Roman"/>
          <w:lang w:val="pt-BR"/>
        </w:rPr>
        <w:tab/>
      </w:r>
      <w:r w:rsidR="008425F7">
        <w:rPr>
          <w:rFonts w:ascii="Times New Roman" w:hAnsi="Times New Roman"/>
          <w:lang w:val="pt-BR"/>
        </w:rPr>
        <w:t>2</w:t>
      </w:r>
    </w:p>
    <w:p w:rsidR="005D6BBE" w:rsidRPr="00EB2DD9" w:rsidRDefault="005D6BBE" w:rsidP="001B6FCD">
      <w:pPr>
        <w:jc w:val="both"/>
        <w:rPr>
          <w:sz w:val="22"/>
          <w:szCs w:val="22"/>
          <w:lang w:val="pt-BR"/>
        </w:rPr>
      </w:pPr>
    </w:p>
    <w:p w:rsidR="005D6BBE" w:rsidRPr="00EB2DD9" w:rsidRDefault="005D6BBE" w:rsidP="001B6FCD">
      <w:pPr>
        <w:pStyle w:val="TOC2"/>
        <w:jc w:val="both"/>
        <w:rPr>
          <w:rFonts w:ascii="Times New Roman" w:hAnsi="Times New Roman"/>
          <w:lang w:val="pt-BR"/>
        </w:rPr>
      </w:pPr>
      <w:r w:rsidRPr="00EB2DD9">
        <w:rPr>
          <w:rFonts w:ascii="Times New Roman" w:hAnsi="Times New Roman"/>
          <w:lang w:val="pt-BR"/>
        </w:rPr>
        <w:t>Pasqyra e fluksit te parase</w:t>
      </w:r>
      <w:r w:rsidRPr="00EB2DD9">
        <w:rPr>
          <w:rFonts w:ascii="Times New Roman" w:hAnsi="Times New Roman"/>
          <w:lang w:val="pt-BR"/>
        </w:rPr>
        <w:tab/>
        <w:t xml:space="preserve">  </w:t>
      </w:r>
      <w:r w:rsidR="008425F7">
        <w:rPr>
          <w:rFonts w:ascii="Times New Roman" w:hAnsi="Times New Roman"/>
          <w:lang w:val="pt-BR"/>
        </w:rPr>
        <w:t>3</w:t>
      </w:r>
    </w:p>
    <w:p w:rsidR="005D6BBE" w:rsidRPr="00EB2DD9" w:rsidRDefault="005D6BBE" w:rsidP="001B6FCD">
      <w:pPr>
        <w:jc w:val="both"/>
        <w:rPr>
          <w:sz w:val="22"/>
          <w:szCs w:val="22"/>
          <w:lang w:val="pt-BR"/>
        </w:rPr>
      </w:pPr>
    </w:p>
    <w:p w:rsidR="005D6BBE" w:rsidRPr="00EB2DD9" w:rsidRDefault="005D6BBE" w:rsidP="001B6FCD">
      <w:pPr>
        <w:pStyle w:val="TOC2"/>
        <w:jc w:val="both"/>
        <w:rPr>
          <w:rFonts w:ascii="Times New Roman" w:hAnsi="Times New Roman"/>
          <w:lang w:val="it-IT"/>
        </w:rPr>
      </w:pPr>
      <w:r w:rsidRPr="00EB2DD9">
        <w:rPr>
          <w:rFonts w:ascii="Times New Roman" w:hAnsi="Times New Roman"/>
          <w:lang w:val="it-IT"/>
        </w:rPr>
        <w:t>Pasqyra e ndryshimeve ne kapitalet e veta</w:t>
      </w:r>
      <w:r w:rsidRPr="00EB2DD9">
        <w:rPr>
          <w:rFonts w:ascii="Times New Roman" w:hAnsi="Times New Roman"/>
          <w:lang w:val="it-IT"/>
        </w:rPr>
        <w:tab/>
      </w:r>
      <w:r w:rsidR="008425F7">
        <w:rPr>
          <w:rFonts w:ascii="Times New Roman" w:hAnsi="Times New Roman"/>
          <w:lang w:val="it-IT"/>
        </w:rPr>
        <w:t>4</w:t>
      </w:r>
    </w:p>
    <w:p w:rsidR="005D6BBE" w:rsidRPr="00EB2DD9" w:rsidRDefault="005D6BBE" w:rsidP="001B6FCD">
      <w:pPr>
        <w:jc w:val="both"/>
        <w:rPr>
          <w:sz w:val="22"/>
          <w:szCs w:val="22"/>
          <w:lang w:val="it-IT"/>
        </w:rPr>
      </w:pPr>
    </w:p>
    <w:p w:rsidR="005D6BBE" w:rsidRPr="00EB2DD9" w:rsidRDefault="005D6BBE" w:rsidP="001B6FCD">
      <w:pPr>
        <w:pStyle w:val="TOC2"/>
        <w:jc w:val="both"/>
        <w:rPr>
          <w:rFonts w:ascii="Times New Roman" w:hAnsi="Times New Roman"/>
          <w:lang w:val="it-IT"/>
        </w:rPr>
      </w:pPr>
      <w:r w:rsidRPr="00EB2DD9">
        <w:rPr>
          <w:rFonts w:ascii="Times New Roman" w:hAnsi="Times New Roman"/>
          <w:lang w:val="it-IT"/>
        </w:rPr>
        <w:t xml:space="preserve">Shenime per pasqyrat financiare </w:t>
      </w:r>
      <w:r w:rsidRPr="00EB2DD9">
        <w:rPr>
          <w:rFonts w:ascii="Times New Roman" w:hAnsi="Times New Roman"/>
          <w:lang w:val="it-IT"/>
        </w:rPr>
        <w:tab/>
        <w:t xml:space="preserve"> </w:t>
      </w:r>
      <w:r w:rsidR="008425F7">
        <w:rPr>
          <w:rFonts w:ascii="Times New Roman" w:hAnsi="Times New Roman"/>
          <w:lang w:val="it-IT"/>
        </w:rPr>
        <w:t>5</w:t>
      </w:r>
      <w:r w:rsidRPr="00EB2DD9">
        <w:rPr>
          <w:rFonts w:ascii="Times New Roman" w:hAnsi="Times New Roman"/>
          <w:lang w:val="it-IT"/>
        </w:rPr>
        <w:t>-</w:t>
      </w:r>
      <w:r w:rsidR="008425F7">
        <w:rPr>
          <w:rFonts w:ascii="Times New Roman" w:hAnsi="Times New Roman"/>
          <w:lang w:val="it-IT"/>
        </w:rPr>
        <w:t>15</w:t>
      </w:r>
    </w:p>
    <w:p w:rsidR="005D6BBE" w:rsidRPr="00EB2DD9" w:rsidRDefault="005D6BBE" w:rsidP="001B6FCD">
      <w:pPr>
        <w:jc w:val="both"/>
        <w:rPr>
          <w:lang w:val="it-IT"/>
        </w:rPr>
      </w:pPr>
    </w:p>
    <w:p w:rsidR="005D6BBE" w:rsidRPr="00EB2DD9" w:rsidRDefault="005D6BBE" w:rsidP="001B6FCD">
      <w:pPr>
        <w:jc w:val="both"/>
        <w:rPr>
          <w:lang w:val="it-IT"/>
        </w:rPr>
      </w:pPr>
    </w:p>
    <w:p w:rsidR="005D6BBE" w:rsidRPr="00EB2DD9" w:rsidRDefault="005D6BBE" w:rsidP="001B6FCD">
      <w:pPr>
        <w:jc w:val="both"/>
        <w:rPr>
          <w:lang w:val="it-IT"/>
        </w:rPr>
      </w:pPr>
    </w:p>
    <w:p w:rsidR="00BD2E81" w:rsidRPr="00EB2DD9" w:rsidRDefault="00BD2E81" w:rsidP="001B6FCD">
      <w:pPr>
        <w:jc w:val="both"/>
        <w:rPr>
          <w:lang w:val="it-IT"/>
        </w:rPr>
      </w:pPr>
    </w:p>
    <w:p w:rsidR="00BD2E81" w:rsidRPr="00EB2DD9" w:rsidRDefault="00BD2E81" w:rsidP="001B6FCD">
      <w:pPr>
        <w:jc w:val="both"/>
        <w:rPr>
          <w:lang w:val="it-IT"/>
        </w:rPr>
      </w:pPr>
    </w:p>
    <w:p w:rsidR="00BD2E81" w:rsidRPr="00EB2DD9" w:rsidRDefault="00BD2E81" w:rsidP="001B6FCD">
      <w:pPr>
        <w:jc w:val="both"/>
        <w:rPr>
          <w:lang w:val="it-IT"/>
        </w:rPr>
      </w:pPr>
    </w:p>
    <w:p w:rsidR="00BD2E81" w:rsidRPr="00EB2DD9" w:rsidRDefault="00BD2E81" w:rsidP="001B6FCD">
      <w:pPr>
        <w:jc w:val="both"/>
        <w:rPr>
          <w:lang w:val="it-IT"/>
        </w:rPr>
      </w:pPr>
    </w:p>
    <w:p w:rsidR="00505DCF" w:rsidRPr="00EB2DD9" w:rsidRDefault="00505DCF" w:rsidP="001B6FCD">
      <w:pPr>
        <w:jc w:val="both"/>
        <w:rPr>
          <w:lang w:val="it-IT"/>
        </w:rPr>
      </w:pPr>
    </w:p>
    <w:p w:rsidR="00505DCF" w:rsidRPr="00EB2DD9" w:rsidRDefault="00505DCF" w:rsidP="001B6FCD">
      <w:pPr>
        <w:jc w:val="both"/>
        <w:rPr>
          <w:lang w:val="it-IT"/>
        </w:rPr>
      </w:pPr>
    </w:p>
    <w:p w:rsidR="00505DCF" w:rsidRPr="00EB2DD9" w:rsidRDefault="00505DCF" w:rsidP="001B6FCD">
      <w:pPr>
        <w:jc w:val="both"/>
        <w:rPr>
          <w:lang w:val="it-IT"/>
        </w:rPr>
      </w:pPr>
    </w:p>
    <w:p w:rsidR="00505DCF" w:rsidRPr="00EB2DD9" w:rsidRDefault="00505DCF" w:rsidP="001B6FCD">
      <w:pPr>
        <w:jc w:val="both"/>
        <w:rPr>
          <w:lang w:val="it-IT"/>
        </w:rPr>
      </w:pPr>
    </w:p>
    <w:p w:rsidR="00AF4FF9" w:rsidRDefault="00AF4FF9" w:rsidP="001B6FCD">
      <w:pPr>
        <w:widowControl w:val="0"/>
        <w:jc w:val="both"/>
        <w:rPr>
          <w:lang w:val="pt-BR"/>
        </w:rPr>
      </w:pPr>
    </w:p>
    <w:p w:rsidR="00AF4FF9" w:rsidRDefault="00AF4FF9" w:rsidP="001B6FCD">
      <w:pPr>
        <w:widowControl w:val="0"/>
        <w:jc w:val="both"/>
        <w:rPr>
          <w:lang w:val="pt-BR"/>
        </w:rPr>
      </w:pPr>
    </w:p>
    <w:p w:rsidR="00AF4FF9" w:rsidRDefault="00AF4FF9" w:rsidP="001B6FCD">
      <w:pPr>
        <w:widowControl w:val="0"/>
        <w:jc w:val="both"/>
        <w:rPr>
          <w:lang w:val="pt-BR"/>
        </w:rPr>
      </w:pPr>
    </w:p>
    <w:p w:rsidR="00C56823" w:rsidRDefault="00C56823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sv-SE"/>
        </w:rPr>
      </w:pPr>
    </w:p>
    <w:p w:rsidR="00C56823" w:rsidRDefault="00C56823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sv-SE"/>
        </w:rPr>
      </w:pPr>
    </w:p>
    <w:p w:rsidR="00C56823" w:rsidRDefault="00C56823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sv-SE"/>
        </w:rPr>
      </w:pPr>
    </w:p>
    <w:p w:rsidR="00C56823" w:rsidRDefault="00C56823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sv-SE"/>
        </w:rPr>
      </w:pPr>
    </w:p>
    <w:p w:rsidR="0095689F" w:rsidRDefault="0095689F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sv-SE"/>
        </w:rPr>
      </w:pPr>
    </w:p>
    <w:p w:rsidR="00B078F7" w:rsidRDefault="00B078F7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sv-SE"/>
        </w:rPr>
      </w:pPr>
    </w:p>
    <w:p w:rsidR="00AF4FF9" w:rsidRDefault="00AF4FF9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sv-SE"/>
        </w:rPr>
      </w:pPr>
      <w:r>
        <w:rPr>
          <w:rFonts w:ascii="Century Gothic" w:hAnsi="Century Gothic"/>
          <w:b/>
          <w:bCs/>
          <w:sz w:val="22"/>
          <w:szCs w:val="22"/>
          <w:lang w:val="sv-SE"/>
        </w:rPr>
        <w:lastRenderedPageBreak/>
        <w:t>ENI SHPK</w:t>
      </w:r>
    </w:p>
    <w:p w:rsidR="00AF4FF9" w:rsidRDefault="00AF4FF9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sv-SE"/>
        </w:rPr>
      </w:pPr>
    </w:p>
    <w:p w:rsidR="00AF4FF9" w:rsidRPr="00B1225B" w:rsidRDefault="00AF4FF9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sv-SE"/>
        </w:rPr>
      </w:pPr>
      <w:r w:rsidRPr="00B1225B">
        <w:rPr>
          <w:rFonts w:ascii="Century Gothic" w:hAnsi="Century Gothic"/>
          <w:b/>
          <w:bCs/>
          <w:sz w:val="22"/>
          <w:szCs w:val="22"/>
          <w:lang w:val="sv-SE"/>
        </w:rPr>
        <w:t>B</w:t>
      </w:r>
      <w:r>
        <w:rPr>
          <w:rFonts w:ascii="Century Gothic" w:hAnsi="Century Gothic"/>
          <w:b/>
          <w:bCs/>
          <w:sz w:val="22"/>
          <w:szCs w:val="22"/>
          <w:lang w:val="sv-SE"/>
        </w:rPr>
        <w:t>ILANCI KONTABEL</w:t>
      </w:r>
    </w:p>
    <w:p w:rsidR="00AF4FF9" w:rsidRPr="00B1225B" w:rsidRDefault="00AF4FF9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>vitet ushtrimor te mbyllur më</w:t>
      </w:r>
      <w:r w:rsidR="00E50645">
        <w:rPr>
          <w:rFonts w:ascii="Century Gothic" w:hAnsi="Century Gothic"/>
          <w:b/>
          <w:bCs/>
          <w:sz w:val="22"/>
          <w:szCs w:val="22"/>
          <w:lang w:val="pt-BR"/>
        </w:rPr>
        <w:t xml:space="preserve"> 31 Dhjetor 201</w:t>
      </w:r>
      <w:r w:rsidR="00B078F7">
        <w:rPr>
          <w:rFonts w:ascii="Century Gothic" w:hAnsi="Century Gothic"/>
          <w:b/>
          <w:bCs/>
          <w:sz w:val="22"/>
          <w:szCs w:val="22"/>
          <w:lang w:val="pt-BR"/>
        </w:rPr>
        <w:t>2</w:t>
      </w:r>
      <w:r w:rsidR="00E50645">
        <w:rPr>
          <w:rFonts w:ascii="Century Gothic" w:hAnsi="Century Gothic"/>
          <w:b/>
          <w:bCs/>
          <w:sz w:val="22"/>
          <w:szCs w:val="22"/>
          <w:lang w:val="pt-BR"/>
        </w:rPr>
        <w:t xml:space="preserve"> dhe 20</w:t>
      </w:r>
      <w:r w:rsidR="00B078F7">
        <w:rPr>
          <w:rFonts w:ascii="Century Gothic" w:hAnsi="Century Gothic"/>
          <w:b/>
          <w:bCs/>
          <w:sz w:val="22"/>
          <w:szCs w:val="22"/>
          <w:lang w:val="pt-BR"/>
        </w:rPr>
        <w:t>11</w:t>
      </w:r>
    </w:p>
    <w:p w:rsidR="00AF4FF9" w:rsidRDefault="00AF4FF9" w:rsidP="00AF4FF9">
      <w:pPr>
        <w:widowControl w:val="0"/>
        <w:pBdr>
          <w:bottom w:val="single" w:sz="4" w:space="1" w:color="auto"/>
        </w:pBdr>
        <w:rPr>
          <w:rFonts w:ascii="Century Gothic" w:hAnsi="Century Gothic"/>
          <w:b/>
          <w:bCs/>
          <w:sz w:val="18"/>
          <w:szCs w:val="18"/>
          <w:lang w:val="pt-BR"/>
        </w:rPr>
      </w:pPr>
      <w:r w:rsidRPr="00B1225B">
        <w:rPr>
          <w:rFonts w:ascii="Century Gothic" w:hAnsi="Century Gothic"/>
          <w:b/>
          <w:bCs/>
          <w:sz w:val="18"/>
          <w:szCs w:val="18"/>
          <w:lang w:val="pt-BR"/>
        </w:rPr>
        <w:t>(Të gjitha balancat janë në lekë)</w:t>
      </w:r>
    </w:p>
    <w:p w:rsidR="00AF4FF9" w:rsidRDefault="00AF4FF9" w:rsidP="001B6FCD">
      <w:pPr>
        <w:widowControl w:val="0"/>
        <w:jc w:val="both"/>
        <w:rPr>
          <w:lang w:val="pt-BR"/>
        </w:rPr>
      </w:pPr>
    </w:p>
    <w:p w:rsidR="0095689F" w:rsidRDefault="00342DC0" w:rsidP="001B6FCD">
      <w:pPr>
        <w:widowControl w:val="0"/>
        <w:jc w:val="both"/>
        <w:rPr>
          <w:lang w:val="pt-BR"/>
        </w:rPr>
      </w:pPr>
      <w:r w:rsidRPr="00EB2DD9">
        <w:rPr>
          <w:lang w:val="pt-BR"/>
        </w:rPr>
        <w:object w:dxaOrig="8804" w:dyaOrig="11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55pt;height:578.85pt" o:ole="">
            <v:imagedata r:id="rId8" o:title=""/>
          </v:shape>
          <o:OLEObject Type="Embed" ProgID="Excel.Sheet.8" ShapeID="_x0000_i1025" DrawAspect="Content" ObjectID="_1700743853" r:id="rId9"/>
        </w:object>
      </w:r>
    </w:p>
    <w:p w:rsidR="0095689F" w:rsidRDefault="0095689F" w:rsidP="001B6FCD">
      <w:pPr>
        <w:widowControl w:val="0"/>
        <w:jc w:val="both"/>
        <w:rPr>
          <w:lang w:val="pt-BR"/>
        </w:rPr>
      </w:pPr>
    </w:p>
    <w:p w:rsidR="00AF4FF9" w:rsidRDefault="00AF4FF9" w:rsidP="00AF4FF9">
      <w:pPr>
        <w:widowControl w:val="0"/>
        <w:pBdr>
          <w:bottom w:val="single" w:sz="4" w:space="1" w:color="auto"/>
        </w:pBdr>
        <w:rPr>
          <w:rFonts w:ascii="Century Gothic" w:hAnsi="Century Gothic"/>
          <w:b/>
          <w:bCs/>
          <w:sz w:val="22"/>
          <w:szCs w:val="22"/>
          <w:lang w:val="pt-BR"/>
        </w:rPr>
      </w:pPr>
      <w:r>
        <w:rPr>
          <w:rFonts w:ascii="Century Gothic" w:hAnsi="Century Gothic"/>
          <w:b/>
          <w:bCs/>
          <w:sz w:val="22"/>
          <w:szCs w:val="22"/>
          <w:lang w:val="pt-BR"/>
        </w:rPr>
        <w:lastRenderedPageBreak/>
        <w:t>ENI SHPK</w:t>
      </w:r>
    </w:p>
    <w:p w:rsidR="00AF4FF9" w:rsidRDefault="00AF4FF9" w:rsidP="00AF4FF9">
      <w:pPr>
        <w:widowControl w:val="0"/>
        <w:pBdr>
          <w:bottom w:val="single" w:sz="4" w:space="1" w:color="auto"/>
        </w:pBdr>
        <w:rPr>
          <w:rFonts w:ascii="Century Gothic" w:hAnsi="Century Gothic"/>
          <w:b/>
          <w:bCs/>
          <w:sz w:val="22"/>
          <w:szCs w:val="22"/>
          <w:lang w:val="pt-BR"/>
        </w:rPr>
      </w:pPr>
    </w:p>
    <w:p w:rsidR="00AF4FF9" w:rsidRPr="00A9283F" w:rsidRDefault="00AF4FF9" w:rsidP="00AF4FF9">
      <w:pPr>
        <w:widowControl w:val="0"/>
        <w:pBdr>
          <w:bottom w:val="single" w:sz="4" w:space="1" w:color="auto"/>
        </w:pBdr>
        <w:rPr>
          <w:rFonts w:ascii="Century Gothic" w:hAnsi="Century Gothic"/>
          <w:b/>
          <w:bCs/>
          <w:lang w:val="pt-BR"/>
        </w:rPr>
      </w:pPr>
      <w:r w:rsidRPr="00A9283F">
        <w:rPr>
          <w:rFonts w:ascii="Century Gothic" w:hAnsi="Century Gothic"/>
          <w:b/>
          <w:bCs/>
          <w:lang w:val="pt-BR"/>
        </w:rPr>
        <w:t xml:space="preserve">PASQYRA E TE ARDHURAVE DHE SHPENZIMEVE </w:t>
      </w:r>
    </w:p>
    <w:p w:rsidR="002069D8" w:rsidRPr="00A9283F" w:rsidRDefault="00AF4FF9" w:rsidP="00AF4FF9">
      <w:pPr>
        <w:widowControl w:val="0"/>
        <w:pBdr>
          <w:bottom w:val="single" w:sz="4" w:space="1" w:color="auto"/>
        </w:pBdr>
        <w:rPr>
          <w:rFonts w:ascii="Century Gothic" w:hAnsi="Century Gothic"/>
          <w:b/>
          <w:bCs/>
          <w:lang w:val="pt-BR"/>
        </w:rPr>
      </w:pPr>
      <w:r w:rsidRPr="00A9283F">
        <w:rPr>
          <w:rFonts w:ascii="Century Gothic" w:hAnsi="Century Gothic"/>
          <w:b/>
          <w:bCs/>
          <w:lang w:val="pt-BR"/>
        </w:rPr>
        <w:t>Për vitet ushtrimor te mby</w:t>
      </w:r>
      <w:r w:rsidR="00C56823">
        <w:rPr>
          <w:rFonts w:ascii="Century Gothic" w:hAnsi="Century Gothic"/>
          <w:b/>
          <w:bCs/>
          <w:lang w:val="pt-BR"/>
        </w:rPr>
        <w:t>llur më 31 Dh</w:t>
      </w:r>
      <w:r w:rsidR="000D066E">
        <w:rPr>
          <w:rFonts w:ascii="Century Gothic" w:hAnsi="Century Gothic"/>
          <w:b/>
          <w:bCs/>
          <w:lang w:val="pt-BR"/>
        </w:rPr>
        <w:t>jetor 201</w:t>
      </w:r>
      <w:r w:rsidR="002069D8">
        <w:rPr>
          <w:rFonts w:ascii="Century Gothic" w:hAnsi="Century Gothic"/>
          <w:b/>
          <w:bCs/>
          <w:lang w:val="pt-BR"/>
        </w:rPr>
        <w:t>2</w:t>
      </w:r>
      <w:r w:rsidR="000D066E">
        <w:rPr>
          <w:rFonts w:ascii="Century Gothic" w:hAnsi="Century Gothic"/>
          <w:b/>
          <w:bCs/>
          <w:lang w:val="pt-BR"/>
        </w:rPr>
        <w:t xml:space="preserve"> dhe 20</w:t>
      </w:r>
      <w:r w:rsidR="002069D8">
        <w:rPr>
          <w:rFonts w:ascii="Century Gothic" w:hAnsi="Century Gothic"/>
          <w:b/>
          <w:bCs/>
          <w:lang w:val="pt-BR"/>
        </w:rPr>
        <w:t>11</w:t>
      </w:r>
    </w:p>
    <w:p w:rsidR="00AF4FF9" w:rsidRPr="00A9283F" w:rsidRDefault="00AF4FF9" w:rsidP="00AF4FF9">
      <w:pPr>
        <w:widowControl w:val="0"/>
        <w:pBdr>
          <w:bottom w:val="single" w:sz="4" w:space="1" w:color="auto"/>
        </w:pBdr>
        <w:rPr>
          <w:rFonts w:ascii="Century Gothic" w:hAnsi="Century Gothic"/>
          <w:b/>
          <w:bCs/>
          <w:lang w:val="pt-BR"/>
        </w:rPr>
      </w:pPr>
      <w:r w:rsidRPr="00A9283F">
        <w:rPr>
          <w:rFonts w:ascii="Century Gothic" w:hAnsi="Century Gothic"/>
          <w:b/>
          <w:bCs/>
          <w:lang w:val="pt-BR"/>
        </w:rPr>
        <w:t xml:space="preserve"> (Të gjitha balancat janë në lekë)</w:t>
      </w:r>
    </w:p>
    <w:p w:rsidR="00AF4FF9" w:rsidRDefault="00AF4FF9" w:rsidP="001B6FCD">
      <w:pPr>
        <w:widowControl w:val="0"/>
        <w:jc w:val="both"/>
        <w:rPr>
          <w:lang w:val="pt-BR"/>
        </w:rPr>
      </w:pPr>
    </w:p>
    <w:p w:rsidR="002D018E" w:rsidRPr="00EB777F" w:rsidRDefault="002D018E" w:rsidP="007D773D">
      <w:pPr>
        <w:widowControl w:val="0"/>
        <w:pBdr>
          <w:bottom w:val="single" w:sz="4" w:space="1" w:color="auto"/>
        </w:pBdr>
        <w:jc w:val="both"/>
        <w:rPr>
          <w:sz w:val="20"/>
          <w:lang w:val="pt-BR"/>
        </w:rPr>
      </w:pPr>
    </w:p>
    <w:p w:rsidR="002D583E" w:rsidRPr="00EB2DD9" w:rsidRDefault="00CB5AAB" w:rsidP="002D018E">
      <w:pPr>
        <w:pStyle w:val="Heading2"/>
        <w:jc w:val="both"/>
        <w:rPr>
          <w:sz w:val="36"/>
          <w:szCs w:val="36"/>
          <w:lang w:val="nl-NL"/>
        </w:rPr>
      </w:pPr>
      <w:r w:rsidRPr="00EB2DD9">
        <w:rPr>
          <w:sz w:val="36"/>
          <w:szCs w:val="36"/>
          <w:lang w:val="nl-NL"/>
        </w:rPr>
        <w:object w:dxaOrig="8785" w:dyaOrig="8508">
          <v:shape id="_x0000_i1026" type="#_x0000_t75" style="width:500.45pt;height:484.75pt" o:ole="">
            <v:imagedata r:id="rId10" o:title=""/>
          </v:shape>
          <o:OLEObject Type="Embed" ProgID="Excel.Sheet.8" ShapeID="_x0000_i1026" DrawAspect="Content" ObjectID="_1700743854" r:id="rId11"/>
        </w:object>
      </w:r>
    </w:p>
    <w:p w:rsidR="002D018E" w:rsidRDefault="002D018E" w:rsidP="002D583E"/>
    <w:p w:rsidR="002D583E" w:rsidRDefault="002D583E" w:rsidP="002D583E"/>
    <w:p w:rsidR="002D583E" w:rsidRDefault="002D583E" w:rsidP="002D583E"/>
    <w:p w:rsidR="002D583E" w:rsidRDefault="002D583E" w:rsidP="002D583E"/>
    <w:p w:rsidR="005F2384" w:rsidRDefault="005F2384" w:rsidP="002D583E"/>
    <w:p w:rsidR="005F2384" w:rsidRDefault="005F2384" w:rsidP="002D583E"/>
    <w:p w:rsidR="005F2384" w:rsidRDefault="005F2384" w:rsidP="002D583E"/>
    <w:p w:rsidR="009F4AFB" w:rsidRPr="00EB2DD9" w:rsidRDefault="002D018E" w:rsidP="002D018E">
      <w:pPr>
        <w:pStyle w:val="Caption"/>
        <w:jc w:val="both"/>
        <w:rPr>
          <w:sz w:val="32"/>
          <w:szCs w:val="32"/>
          <w:lang w:val="nl-NL"/>
        </w:rPr>
      </w:pPr>
      <w:r>
        <w:lastRenderedPageBreak/>
        <w:t xml:space="preserve">Figure </w:t>
      </w:r>
      <w:fldSimple w:instr=" SEQ Figure \* ARABIC ">
        <w:r w:rsidR="006D6998">
          <w:rPr>
            <w:noProof/>
          </w:rPr>
          <w:t>1</w:t>
        </w:r>
      </w:fldSimple>
    </w:p>
    <w:p w:rsidR="005F2384" w:rsidRPr="006F3B3C" w:rsidRDefault="005F2384" w:rsidP="005F238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t>P</w:t>
      </w:r>
      <w:r>
        <w:rPr>
          <w:rFonts w:ascii="Century Gothic" w:hAnsi="Century Gothic"/>
          <w:b/>
          <w:bCs/>
          <w:sz w:val="22"/>
          <w:szCs w:val="22"/>
          <w:lang w:val="nl-NL"/>
        </w:rPr>
        <w:t xml:space="preserve">ASQYRA E RRJEDHJES SE PARASE </w:t>
      </w: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t>(cash flo</w:t>
      </w:r>
      <w:r>
        <w:rPr>
          <w:rFonts w:ascii="Century Gothic" w:hAnsi="Century Gothic"/>
          <w:b/>
          <w:bCs/>
          <w:sz w:val="22"/>
          <w:szCs w:val="22"/>
          <w:lang w:val="nl-NL"/>
        </w:rPr>
        <w:t>w</w:t>
      </w: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t>)</w:t>
      </w:r>
    </w:p>
    <w:p w:rsidR="005F2384" w:rsidRPr="00B1225B" w:rsidRDefault="005F2384" w:rsidP="005F2384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>vitet ushtrim</w:t>
      </w:r>
      <w:r w:rsidR="00415FF6">
        <w:rPr>
          <w:rFonts w:ascii="Century Gothic" w:hAnsi="Century Gothic"/>
          <w:b/>
          <w:bCs/>
          <w:sz w:val="22"/>
          <w:szCs w:val="22"/>
          <w:lang w:val="pt-BR"/>
        </w:rPr>
        <w:t>or te mbyllur më 31 Dhjetor 2012  dhe 2011</w:t>
      </w:r>
    </w:p>
    <w:p w:rsidR="005F2384" w:rsidRPr="00B1225B" w:rsidRDefault="005F2384" w:rsidP="005F2384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pt-BR"/>
        </w:rPr>
      </w:pPr>
      <w:r w:rsidRPr="00B1225B">
        <w:rPr>
          <w:rFonts w:ascii="Century Gothic" w:hAnsi="Century Gothic"/>
          <w:b/>
          <w:bCs/>
          <w:sz w:val="18"/>
          <w:szCs w:val="18"/>
          <w:lang w:val="pt-BR"/>
        </w:rPr>
        <w:t xml:space="preserve"> (Të gjitha balancat janë në lekë)</w:t>
      </w:r>
    </w:p>
    <w:p w:rsidR="00584F63" w:rsidRPr="00584F63" w:rsidRDefault="00ED25EE" w:rsidP="00584F63">
      <w:pPr>
        <w:rPr>
          <w:lang w:val="nl-NL"/>
        </w:rPr>
      </w:pPr>
      <w:r>
        <w:rPr>
          <w:noProof/>
        </w:rPr>
        <w:pict>
          <v:shape id="_x0000_s1047" type="#_x0000_t75" style="position:absolute;margin-left:73.5pt;margin-top:10.5pt;width:348.75pt;height:517.4pt;z-index:251657216">
            <v:imagedata r:id="rId12" o:title=""/>
            <w10:wrap type="square" side="right"/>
          </v:shape>
          <o:OLEObject Type="Embed" ProgID="Excel.Sheet.8" ShapeID="_x0000_s1047" DrawAspect="Content" ObjectID="_1700743867" r:id="rId13"/>
        </w:pict>
      </w: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74AAA" w:rsidRDefault="00B74AAA" w:rsidP="00AF4FF9">
      <w:pPr>
        <w:widowControl w:val="0"/>
        <w:rPr>
          <w:rFonts w:ascii="Arial Narrow" w:hAnsi="Arial Narrow"/>
          <w:bCs/>
          <w:lang w:val="pt-BR"/>
        </w:rPr>
      </w:pPr>
    </w:p>
    <w:p w:rsidR="00B078F7" w:rsidRDefault="00B078F7" w:rsidP="00AF4FF9">
      <w:pPr>
        <w:widowControl w:val="0"/>
        <w:rPr>
          <w:rFonts w:ascii="Arial Narrow" w:hAnsi="Arial Narrow"/>
          <w:bCs/>
          <w:lang w:val="pt-BR"/>
        </w:rPr>
      </w:pPr>
    </w:p>
    <w:p w:rsidR="0049306F" w:rsidRPr="00EB2DD9" w:rsidRDefault="0049306F" w:rsidP="0049306F">
      <w:pPr>
        <w:pStyle w:val="BodyText"/>
        <w:rPr>
          <w:sz w:val="20"/>
          <w:lang w:val="pt-BR"/>
        </w:rPr>
      </w:pPr>
    </w:p>
    <w:p w:rsidR="00AF4FF9" w:rsidRPr="00EB2DD9" w:rsidRDefault="00AF4FF9" w:rsidP="001B6FCD">
      <w:pPr>
        <w:pStyle w:val="BodyText"/>
        <w:rPr>
          <w:sz w:val="20"/>
          <w:lang w:val="pt-BR"/>
        </w:rPr>
      </w:pPr>
    </w:p>
    <w:p w:rsidR="00D406DB" w:rsidRPr="00EB2DD9" w:rsidRDefault="00D406DB" w:rsidP="001B6FCD">
      <w:pPr>
        <w:pStyle w:val="BodyText"/>
        <w:rPr>
          <w:sz w:val="20"/>
          <w:lang w:val="pt-BR"/>
        </w:rPr>
      </w:pPr>
    </w:p>
    <w:p w:rsidR="00D406DB" w:rsidRPr="00EB2DD9" w:rsidRDefault="00D406DB" w:rsidP="001B6FCD">
      <w:pPr>
        <w:pStyle w:val="Heading2"/>
        <w:jc w:val="both"/>
        <w:rPr>
          <w:sz w:val="22"/>
          <w:szCs w:val="22"/>
          <w:lang w:val="nl-NL"/>
        </w:rPr>
      </w:pPr>
    </w:p>
    <w:p w:rsidR="00D5381B" w:rsidRDefault="00D5381B" w:rsidP="00916AC8">
      <w:pPr>
        <w:pStyle w:val="BodyText"/>
        <w:rPr>
          <w:sz w:val="20"/>
          <w:lang w:val="pt-BR"/>
        </w:rPr>
      </w:pPr>
    </w:p>
    <w:p w:rsidR="00D5381B" w:rsidRDefault="00D5381B" w:rsidP="00916AC8">
      <w:pPr>
        <w:pStyle w:val="BodyText"/>
        <w:rPr>
          <w:sz w:val="20"/>
          <w:lang w:val="pt-BR"/>
        </w:rPr>
      </w:pPr>
    </w:p>
    <w:p w:rsidR="00D5381B" w:rsidRDefault="00D5381B" w:rsidP="00916AC8">
      <w:pPr>
        <w:pStyle w:val="BodyText"/>
        <w:rPr>
          <w:sz w:val="20"/>
          <w:lang w:val="pt-BR"/>
        </w:rPr>
      </w:pPr>
    </w:p>
    <w:p w:rsidR="008B3A10" w:rsidRPr="00C56823" w:rsidRDefault="008B3A10" w:rsidP="008B3A10">
      <w:pPr>
        <w:widowControl w:val="0"/>
        <w:rPr>
          <w:rFonts w:ascii="Century Gothic" w:hAnsi="Century Gothic"/>
          <w:b/>
          <w:bCs/>
          <w:sz w:val="22"/>
          <w:szCs w:val="22"/>
          <w:lang w:val="sv-SE"/>
        </w:rPr>
      </w:pPr>
      <w:r>
        <w:rPr>
          <w:rFonts w:ascii="Century Gothic" w:hAnsi="Century Gothic"/>
          <w:b/>
          <w:bCs/>
          <w:sz w:val="22"/>
          <w:szCs w:val="22"/>
          <w:lang w:val="sv-SE"/>
        </w:rPr>
        <w:lastRenderedPageBreak/>
        <w:t>ENI SHPK</w:t>
      </w:r>
    </w:p>
    <w:p w:rsidR="008B3A10" w:rsidRPr="005172D8" w:rsidRDefault="008B3A10" w:rsidP="008B3A10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 w:rsidRPr="005172D8">
        <w:rPr>
          <w:rFonts w:ascii="Century Gothic" w:hAnsi="Century Gothic"/>
          <w:b/>
          <w:bCs/>
          <w:sz w:val="22"/>
          <w:szCs w:val="22"/>
          <w:lang w:val="nl-NL"/>
        </w:rPr>
        <w:t>P</w:t>
      </w:r>
      <w:r>
        <w:rPr>
          <w:rFonts w:ascii="Century Gothic" w:hAnsi="Century Gothic"/>
          <w:b/>
          <w:bCs/>
          <w:sz w:val="22"/>
          <w:szCs w:val="22"/>
          <w:lang w:val="nl-NL"/>
        </w:rPr>
        <w:t>ASQYRA E NDRYSHIMEVE NE KAPI</w:t>
      </w:r>
    </w:p>
    <w:p w:rsidR="008B3A10" w:rsidRPr="00C835E4" w:rsidRDefault="008B3A10" w:rsidP="008B3A10">
      <w:pPr>
        <w:widowControl w:val="0"/>
        <w:rPr>
          <w:rFonts w:ascii="Century Gothic" w:hAnsi="Century Gothic"/>
          <w:bCs/>
          <w:sz w:val="22"/>
          <w:szCs w:val="22"/>
          <w:lang w:val="pt-BR"/>
        </w:rPr>
      </w:pPr>
      <w:r w:rsidRPr="00C835E4">
        <w:rPr>
          <w:rFonts w:ascii="Century Gothic" w:hAnsi="Century Gothic"/>
          <w:bCs/>
          <w:sz w:val="22"/>
          <w:szCs w:val="22"/>
          <w:lang w:val="pt-BR"/>
        </w:rPr>
        <w:t>Për vitet ushtrim</w:t>
      </w:r>
      <w:r w:rsidR="005B74F7">
        <w:rPr>
          <w:rFonts w:ascii="Century Gothic" w:hAnsi="Century Gothic"/>
          <w:bCs/>
          <w:sz w:val="22"/>
          <w:szCs w:val="22"/>
          <w:lang w:val="pt-BR"/>
        </w:rPr>
        <w:t>or te mbyllur më 31 Dhjetor 2012 dhe 2011</w:t>
      </w:r>
    </w:p>
    <w:p w:rsidR="00373CDF" w:rsidRPr="008B3A10" w:rsidRDefault="008B3A10" w:rsidP="008B3A10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nl-NL"/>
        </w:rPr>
      </w:pPr>
      <w:r w:rsidRPr="00C835E4">
        <w:rPr>
          <w:rFonts w:ascii="Century Gothic" w:hAnsi="Century Gothic"/>
          <w:bCs/>
          <w:sz w:val="18"/>
          <w:szCs w:val="18"/>
          <w:lang w:val="nl-NL"/>
        </w:rPr>
        <w:t xml:space="preserve"> (Të gjitha balancat janë në lekë)</w:t>
      </w:r>
    </w:p>
    <w:p w:rsidR="00373CDF" w:rsidRDefault="00373CDF" w:rsidP="001B6FCD">
      <w:pPr>
        <w:ind w:right="38"/>
        <w:jc w:val="both"/>
        <w:rPr>
          <w:b/>
          <w:bCs/>
          <w:sz w:val="36"/>
          <w:szCs w:val="36"/>
          <w:lang w:val="nl-NL"/>
        </w:rPr>
      </w:pPr>
    </w:p>
    <w:tbl>
      <w:tblPr>
        <w:tblW w:w="8441" w:type="dxa"/>
        <w:tblInd w:w="840" w:type="dxa"/>
        <w:tblLook w:val="04A0"/>
      </w:tblPr>
      <w:tblGrid>
        <w:gridCol w:w="2880"/>
        <w:gridCol w:w="1017"/>
        <w:gridCol w:w="960"/>
        <w:gridCol w:w="1140"/>
        <w:gridCol w:w="1204"/>
        <w:gridCol w:w="1240"/>
      </w:tblGrid>
      <w:tr w:rsidR="008B3A10" w:rsidRPr="008B3A10" w:rsidTr="00342DC0">
        <w:trPr>
          <w:trHeight w:val="870"/>
        </w:trPr>
        <w:tc>
          <w:tcPr>
            <w:tcW w:w="2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8B3A10" w:rsidRPr="008B3A10" w:rsidRDefault="008B3A10" w:rsidP="008B3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8B3A10" w:rsidRPr="008B3A10" w:rsidRDefault="008B3A10" w:rsidP="008B3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Kapitali i rregjistruar (aksionar)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8B3A10" w:rsidRPr="008B3A10" w:rsidRDefault="008B3A10" w:rsidP="008B3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Primi i aksionit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8B3A10" w:rsidRPr="008B3A10" w:rsidRDefault="008B3A10" w:rsidP="008B3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Rezerva ligjore statusore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8B3A10" w:rsidRPr="008B3A10" w:rsidRDefault="008B3A10" w:rsidP="008B3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Fitimi pashpërndarë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vAlign w:val="center"/>
            <w:hideMark/>
          </w:tcPr>
          <w:p w:rsidR="008B3A10" w:rsidRPr="008B3A10" w:rsidRDefault="008B3A10" w:rsidP="008B3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Totali </w:t>
            </w:r>
          </w:p>
        </w:tc>
      </w:tr>
      <w:tr w:rsidR="008B3A10" w:rsidRPr="008B3A10" w:rsidTr="00342DC0">
        <w:trPr>
          <w:trHeight w:val="19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Pozicioni më 31 Dhjetor 2010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50,000,000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5,177,867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93,380,513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148,558,380 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  -   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Fitimi neto për periudhën kontabël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(4,319,121)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(4,319,121)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Dividentët e paguar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  -   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Emetim i kapitalit aksionar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  -   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Rritje e rezervës së kapitalit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  -   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Aksione te thesarit te riblera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  -   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Pozicioni më 31 Dhjetor 2011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50,000,000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5,177,867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89,061,392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144,239,259 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  -   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Fitimi neto për periudhën kontabël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(3,408,398)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(3,408,398)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Dividentët e paguar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  -   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Emetim i kapitalit aksionar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  -   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Rritje e rezervës së kapitalit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  -   </w:t>
            </w:r>
          </w:p>
        </w:tc>
      </w:tr>
      <w:tr w:rsidR="008B3A10" w:rsidRPr="008B3A10" w:rsidTr="00342DC0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Aksione te thesarit te riblera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      -   </w:t>
            </w:r>
          </w:p>
        </w:tc>
      </w:tr>
      <w:tr w:rsidR="008B3A10" w:rsidRPr="008B3A10" w:rsidTr="00342DC0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Pozicioni më 31 Dhjetor 2012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50,000,000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         - 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  5,177,867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85,652,994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B3A10" w:rsidRPr="008B3A10" w:rsidRDefault="008B3A10" w:rsidP="008B3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10">
              <w:rPr>
                <w:rFonts w:ascii="Arial" w:hAnsi="Arial" w:cs="Arial"/>
                <w:sz w:val="16"/>
                <w:szCs w:val="16"/>
              </w:rPr>
              <w:t xml:space="preserve">    140,830,861 </w:t>
            </w:r>
          </w:p>
        </w:tc>
      </w:tr>
      <w:tr w:rsidR="008B3A10" w:rsidRPr="008B3A10" w:rsidTr="00342DC0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10" w:rsidRPr="008B3A10" w:rsidRDefault="008B3A10" w:rsidP="008B3A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A01" w:rsidRDefault="008B5A01" w:rsidP="008B5A01">
      <w:pPr>
        <w:ind w:right="38"/>
        <w:jc w:val="both"/>
        <w:rPr>
          <w:bCs/>
          <w:lang w:val="nl-NL"/>
        </w:rPr>
      </w:pPr>
      <w:r>
        <w:rPr>
          <w:bCs/>
          <w:lang w:val="nl-NL"/>
        </w:rPr>
        <w:t xml:space="preserve">                                                 Tirane , me </w:t>
      </w:r>
      <w:r w:rsidRPr="008B5A01">
        <w:rPr>
          <w:bCs/>
          <w:u w:val="single"/>
          <w:lang w:val="nl-NL"/>
        </w:rPr>
        <w:t>20/03/2013</w:t>
      </w:r>
    </w:p>
    <w:p w:rsidR="00373CDF" w:rsidRDefault="00373CDF" w:rsidP="001B6FCD">
      <w:pPr>
        <w:ind w:right="38"/>
        <w:jc w:val="both"/>
        <w:rPr>
          <w:b/>
          <w:bCs/>
          <w:sz w:val="36"/>
          <w:szCs w:val="36"/>
          <w:lang w:val="nl-NL"/>
        </w:rPr>
      </w:pPr>
    </w:p>
    <w:p w:rsidR="00C6105F" w:rsidRDefault="00C6105F" w:rsidP="00C6105F">
      <w:pPr>
        <w:ind w:right="38"/>
        <w:jc w:val="both"/>
        <w:rPr>
          <w:bCs/>
          <w:lang w:val="nl-NL"/>
        </w:rPr>
      </w:pPr>
      <w:r w:rsidRPr="00EB2DD9">
        <w:rPr>
          <w:bCs/>
          <w:lang w:val="nl-NL"/>
        </w:rPr>
        <w:t>Këto pasqyra financiare janë aprovuar nga drejtimi i “ ENI ”  shpk  dhe jane firmosur nga:</w:t>
      </w:r>
    </w:p>
    <w:p w:rsidR="007E5474" w:rsidRDefault="007E5474" w:rsidP="00C6105F">
      <w:pPr>
        <w:ind w:right="38"/>
        <w:jc w:val="both"/>
        <w:rPr>
          <w:bCs/>
          <w:lang w:val="nl-NL"/>
        </w:rPr>
      </w:pPr>
    </w:p>
    <w:p w:rsidR="00373CDF" w:rsidRDefault="00373CDF" w:rsidP="001B6FCD">
      <w:pPr>
        <w:ind w:right="38"/>
        <w:jc w:val="both"/>
        <w:rPr>
          <w:b/>
          <w:bCs/>
          <w:sz w:val="36"/>
          <w:szCs w:val="36"/>
          <w:lang w:val="nl-NL"/>
        </w:rPr>
      </w:pPr>
    </w:p>
    <w:p w:rsidR="007E5474" w:rsidRDefault="007E5474" w:rsidP="001B6FCD">
      <w:pPr>
        <w:ind w:right="38"/>
        <w:jc w:val="both"/>
        <w:rPr>
          <w:b/>
          <w:bCs/>
          <w:sz w:val="36"/>
          <w:szCs w:val="36"/>
          <w:lang w:val="nl-NL"/>
        </w:rPr>
      </w:pPr>
    </w:p>
    <w:p w:rsidR="00C6105F" w:rsidRPr="00034F02" w:rsidRDefault="00C6105F" w:rsidP="00C6105F">
      <w:pPr>
        <w:ind w:right="38"/>
        <w:jc w:val="both"/>
        <w:rPr>
          <w:b/>
          <w:bCs/>
          <w:sz w:val="36"/>
          <w:szCs w:val="36"/>
          <w:lang w:val="nl-NL"/>
        </w:rPr>
      </w:pPr>
      <w:r w:rsidRPr="00034F02">
        <w:rPr>
          <w:b/>
          <w:bCs/>
          <w:sz w:val="36"/>
          <w:szCs w:val="36"/>
          <w:lang w:val="nl-NL"/>
        </w:rPr>
        <w:t>Administratori</w:t>
      </w:r>
      <w:r>
        <w:rPr>
          <w:b/>
          <w:bCs/>
          <w:sz w:val="36"/>
          <w:szCs w:val="36"/>
          <w:lang w:val="nl-NL"/>
        </w:rPr>
        <w:tab/>
      </w:r>
      <w:r>
        <w:rPr>
          <w:b/>
          <w:bCs/>
          <w:sz w:val="36"/>
          <w:szCs w:val="36"/>
          <w:lang w:val="nl-NL"/>
        </w:rPr>
        <w:tab/>
      </w:r>
      <w:r>
        <w:rPr>
          <w:b/>
          <w:bCs/>
          <w:sz w:val="36"/>
          <w:szCs w:val="36"/>
          <w:lang w:val="nl-NL"/>
        </w:rPr>
        <w:tab/>
      </w:r>
      <w:r>
        <w:rPr>
          <w:b/>
          <w:bCs/>
          <w:sz w:val="36"/>
          <w:szCs w:val="36"/>
          <w:lang w:val="nl-NL"/>
        </w:rPr>
        <w:tab/>
      </w:r>
      <w:r>
        <w:rPr>
          <w:b/>
          <w:bCs/>
          <w:sz w:val="36"/>
          <w:szCs w:val="36"/>
          <w:lang w:val="nl-NL"/>
        </w:rPr>
        <w:tab/>
      </w:r>
      <w:r w:rsidR="008B5A01">
        <w:rPr>
          <w:b/>
          <w:bCs/>
          <w:sz w:val="36"/>
          <w:szCs w:val="36"/>
          <w:lang w:val="nl-NL"/>
        </w:rPr>
        <w:t xml:space="preserve">     </w:t>
      </w:r>
      <w:r>
        <w:rPr>
          <w:b/>
          <w:bCs/>
          <w:sz w:val="36"/>
          <w:szCs w:val="36"/>
          <w:lang w:val="nl-NL"/>
        </w:rPr>
        <w:t xml:space="preserve">Hartuesi </w:t>
      </w:r>
    </w:p>
    <w:p w:rsidR="00C6105F" w:rsidRPr="00034F02" w:rsidRDefault="00C6105F" w:rsidP="00C6105F">
      <w:pPr>
        <w:ind w:right="38"/>
        <w:jc w:val="both"/>
        <w:rPr>
          <w:b/>
          <w:bCs/>
          <w:sz w:val="36"/>
          <w:szCs w:val="36"/>
          <w:lang w:val="nl-NL"/>
        </w:rPr>
      </w:pPr>
    </w:p>
    <w:p w:rsidR="007E5474" w:rsidRPr="007E5474" w:rsidRDefault="00C6105F" w:rsidP="001B6FCD">
      <w:pPr>
        <w:ind w:right="38"/>
        <w:jc w:val="both"/>
        <w:rPr>
          <w:b/>
          <w:bCs/>
          <w:sz w:val="32"/>
          <w:szCs w:val="32"/>
          <w:lang w:val="nl-NL"/>
        </w:rPr>
      </w:pPr>
      <w:r w:rsidRPr="00034F02">
        <w:rPr>
          <w:b/>
          <w:bCs/>
          <w:sz w:val="32"/>
          <w:szCs w:val="32"/>
          <w:lang w:val="nl-NL"/>
        </w:rPr>
        <w:t>Agron BREGU</w:t>
      </w:r>
      <w:r>
        <w:rPr>
          <w:b/>
          <w:bCs/>
          <w:sz w:val="32"/>
          <w:szCs w:val="32"/>
          <w:lang w:val="nl-NL"/>
        </w:rPr>
        <w:tab/>
      </w:r>
      <w:r>
        <w:rPr>
          <w:b/>
          <w:bCs/>
          <w:sz w:val="32"/>
          <w:szCs w:val="32"/>
          <w:lang w:val="nl-NL"/>
        </w:rPr>
        <w:tab/>
      </w:r>
      <w:r>
        <w:rPr>
          <w:b/>
          <w:bCs/>
          <w:sz w:val="32"/>
          <w:szCs w:val="32"/>
          <w:lang w:val="nl-NL"/>
        </w:rPr>
        <w:tab/>
      </w:r>
      <w:r>
        <w:rPr>
          <w:b/>
          <w:bCs/>
          <w:sz w:val="32"/>
          <w:szCs w:val="32"/>
          <w:lang w:val="nl-NL"/>
        </w:rPr>
        <w:tab/>
      </w:r>
      <w:r>
        <w:rPr>
          <w:b/>
          <w:bCs/>
          <w:sz w:val="32"/>
          <w:szCs w:val="32"/>
          <w:lang w:val="nl-NL"/>
        </w:rPr>
        <w:tab/>
      </w:r>
      <w:r>
        <w:rPr>
          <w:b/>
          <w:bCs/>
          <w:sz w:val="32"/>
          <w:szCs w:val="32"/>
          <w:lang w:val="nl-NL"/>
        </w:rPr>
        <w:tab/>
        <w:t>Sheqere CULLHAJ</w:t>
      </w:r>
    </w:p>
    <w:p w:rsidR="00034F02" w:rsidRDefault="00034F02" w:rsidP="001B6FCD">
      <w:pPr>
        <w:ind w:right="38"/>
        <w:jc w:val="both"/>
        <w:rPr>
          <w:b/>
          <w:bCs/>
          <w:sz w:val="36"/>
          <w:szCs w:val="36"/>
          <w:lang w:val="nl-NL"/>
        </w:rPr>
      </w:pPr>
    </w:p>
    <w:p w:rsidR="007E5474" w:rsidRDefault="007E5474" w:rsidP="001B6FCD">
      <w:pPr>
        <w:ind w:right="38"/>
        <w:jc w:val="both"/>
        <w:rPr>
          <w:bCs/>
          <w:lang w:val="nl-NL"/>
        </w:rPr>
      </w:pPr>
    </w:p>
    <w:p w:rsidR="007E5474" w:rsidRDefault="007E5474" w:rsidP="001B6FCD">
      <w:pPr>
        <w:ind w:right="38"/>
        <w:jc w:val="both"/>
        <w:rPr>
          <w:bCs/>
          <w:lang w:val="nl-NL"/>
        </w:rPr>
      </w:pPr>
    </w:p>
    <w:p w:rsidR="007E5474" w:rsidRDefault="007E5474" w:rsidP="001B6FCD">
      <w:pPr>
        <w:ind w:right="38"/>
        <w:jc w:val="both"/>
        <w:rPr>
          <w:bCs/>
          <w:lang w:val="nl-NL"/>
        </w:rPr>
      </w:pPr>
    </w:p>
    <w:p w:rsidR="00CB477F" w:rsidRDefault="00CB477F" w:rsidP="001B6FCD">
      <w:pPr>
        <w:ind w:right="38"/>
        <w:jc w:val="both"/>
        <w:rPr>
          <w:bCs/>
          <w:lang w:val="nl-NL"/>
        </w:rPr>
      </w:pPr>
    </w:p>
    <w:p w:rsidR="00CB477F" w:rsidRDefault="00CB477F" w:rsidP="001B6FCD">
      <w:pPr>
        <w:ind w:right="38"/>
        <w:jc w:val="both"/>
        <w:rPr>
          <w:bCs/>
          <w:lang w:val="nl-NL"/>
        </w:rPr>
      </w:pPr>
    </w:p>
    <w:p w:rsidR="00CB477F" w:rsidRDefault="00CB477F" w:rsidP="001B6FCD">
      <w:pPr>
        <w:ind w:right="38"/>
        <w:jc w:val="both"/>
        <w:rPr>
          <w:bCs/>
          <w:lang w:val="nl-NL"/>
        </w:rPr>
      </w:pPr>
    </w:p>
    <w:p w:rsidR="00D679FC" w:rsidRDefault="00D679FC" w:rsidP="001B6FCD">
      <w:pPr>
        <w:ind w:right="38"/>
        <w:jc w:val="both"/>
        <w:rPr>
          <w:bCs/>
          <w:lang w:val="nl-NL"/>
        </w:rPr>
      </w:pPr>
    </w:p>
    <w:p w:rsidR="00CB477F" w:rsidRDefault="00CB477F" w:rsidP="001B6FCD">
      <w:pPr>
        <w:ind w:right="38"/>
        <w:jc w:val="both"/>
        <w:rPr>
          <w:bCs/>
          <w:lang w:val="nl-NL"/>
        </w:rPr>
      </w:pPr>
    </w:p>
    <w:p w:rsidR="007E5474" w:rsidRDefault="007E5474" w:rsidP="001B6FCD">
      <w:pPr>
        <w:ind w:right="38"/>
        <w:jc w:val="both"/>
        <w:rPr>
          <w:bCs/>
          <w:lang w:val="nl-NL"/>
        </w:rPr>
      </w:pPr>
    </w:p>
    <w:p w:rsidR="00C56823" w:rsidRPr="006F3B3C" w:rsidRDefault="00C56823" w:rsidP="00C56823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lastRenderedPageBreak/>
        <w:t>S</w:t>
      </w:r>
      <w:r>
        <w:rPr>
          <w:rFonts w:ascii="Century Gothic" w:hAnsi="Century Gothic"/>
          <w:b/>
          <w:bCs/>
          <w:sz w:val="22"/>
          <w:szCs w:val="22"/>
          <w:lang w:val="nl-NL"/>
        </w:rPr>
        <w:t xml:space="preserve">HENIME PER PASQYRAT FINANCIARE </w:t>
      </w:r>
    </w:p>
    <w:p w:rsidR="00C56823" w:rsidRPr="00B1225B" w:rsidRDefault="00C56823" w:rsidP="00C56823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>vitet ushtrimor te mbyllur më</w:t>
      </w:r>
      <w:r w:rsidR="002D3E93">
        <w:rPr>
          <w:rFonts w:ascii="Century Gothic" w:hAnsi="Century Gothic"/>
          <w:b/>
          <w:bCs/>
          <w:sz w:val="22"/>
          <w:szCs w:val="22"/>
          <w:lang w:val="pt-BR"/>
        </w:rPr>
        <w:t xml:space="preserve"> 31 Dhjetor 201</w:t>
      </w:r>
      <w:r w:rsidR="001F78DD">
        <w:rPr>
          <w:rFonts w:ascii="Century Gothic" w:hAnsi="Century Gothic"/>
          <w:b/>
          <w:bCs/>
          <w:sz w:val="22"/>
          <w:szCs w:val="22"/>
          <w:lang w:val="pt-BR"/>
        </w:rPr>
        <w:t>2</w:t>
      </w:r>
      <w:r>
        <w:rPr>
          <w:rFonts w:ascii="Century Gothic" w:hAnsi="Century Gothic"/>
          <w:b/>
          <w:bCs/>
          <w:sz w:val="22"/>
          <w:szCs w:val="22"/>
          <w:lang w:val="pt-BR"/>
        </w:rPr>
        <w:t xml:space="preserve"> dhe 20</w:t>
      </w:r>
      <w:r w:rsidR="001F78DD">
        <w:rPr>
          <w:rFonts w:ascii="Century Gothic" w:hAnsi="Century Gothic"/>
          <w:b/>
          <w:bCs/>
          <w:sz w:val="22"/>
          <w:szCs w:val="22"/>
          <w:lang w:val="pt-BR"/>
        </w:rPr>
        <w:t>11</w:t>
      </w:r>
    </w:p>
    <w:p w:rsidR="00C56823" w:rsidRPr="006F3B3C" w:rsidRDefault="00C56823" w:rsidP="00C56823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pt-BR"/>
        </w:rPr>
      </w:pPr>
      <w:r w:rsidRPr="006F3B3C">
        <w:rPr>
          <w:rFonts w:ascii="Century Gothic" w:hAnsi="Century Gothic"/>
          <w:b/>
          <w:bCs/>
          <w:sz w:val="18"/>
          <w:szCs w:val="18"/>
          <w:lang w:val="pt-BR"/>
        </w:rPr>
        <w:t>(Të gjitha balancat janë në lekë</w:t>
      </w:r>
      <w:r>
        <w:rPr>
          <w:rFonts w:ascii="Century Gothic" w:hAnsi="Century Gothic"/>
          <w:b/>
          <w:bCs/>
          <w:sz w:val="18"/>
          <w:szCs w:val="18"/>
          <w:lang w:val="pt-BR"/>
        </w:rPr>
        <w:t>).</w:t>
      </w:r>
    </w:p>
    <w:p w:rsidR="00AF4FF9" w:rsidRPr="00EB2DD9" w:rsidRDefault="00AF4FF9" w:rsidP="00C56823">
      <w:pPr>
        <w:jc w:val="both"/>
        <w:rPr>
          <w:b/>
          <w:sz w:val="22"/>
          <w:szCs w:val="22"/>
          <w:u w:val="single"/>
        </w:rPr>
      </w:pPr>
    </w:p>
    <w:p w:rsidR="00BB0D7E" w:rsidRPr="00EB2DD9" w:rsidRDefault="001F78DD" w:rsidP="001B6FCD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</w:t>
      </w:r>
      <w:r w:rsidR="00A22FA9" w:rsidRPr="00EB2DD9">
        <w:rPr>
          <w:b/>
          <w:sz w:val="22"/>
          <w:szCs w:val="22"/>
          <w:u w:val="single"/>
        </w:rPr>
        <w:t>TE PERGJITHSHME</w:t>
      </w:r>
    </w:p>
    <w:p w:rsidR="00FC7C77" w:rsidRPr="00EB2DD9" w:rsidRDefault="00FC7C77" w:rsidP="001B6FCD">
      <w:pPr>
        <w:ind w:left="360"/>
        <w:jc w:val="both"/>
        <w:rPr>
          <w:b/>
          <w:sz w:val="22"/>
          <w:szCs w:val="22"/>
          <w:u w:val="single"/>
        </w:rPr>
      </w:pPr>
    </w:p>
    <w:p w:rsidR="00A22FA9" w:rsidRPr="00EB2DD9" w:rsidRDefault="00A22FA9" w:rsidP="001B6FCD">
      <w:pPr>
        <w:ind w:left="360"/>
        <w:jc w:val="both"/>
      </w:pPr>
      <w:r w:rsidRPr="00EB2DD9">
        <w:t>HISTORIA DHE KRIJIMI</w:t>
      </w:r>
    </w:p>
    <w:p w:rsidR="001D6583" w:rsidRPr="00EB2DD9" w:rsidRDefault="001D6583" w:rsidP="001B6FCD">
      <w:pPr>
        <w:ind w:left="360"/>
        <w:jc w:val="both"/>
      </w:pPr>
    </w:p>
    <w:p w:rsidR="00BE29B2" w:rsidRPr="00EB2DD9" w:rsidRDefault="00447EDD" w:rsidP="00BF44DD">
      <w:pPr>
        <w:ind w:left="360" w:firstLine="360"/>
        <w:jc w:val="both"/>
        <w:rPr>
          <w:sz w:val="22"/>
          <w:szCs w:val="22"/>
        </w:rPr>
      </w:pPr>
      <w:r w:rsidRPr="004A4BB6">
        <w:rPr>
          <w:b/>
        </w:rPr>
        <w:t>“</w:t>
      </w:r>
      <w:r w:rsidR="007D24C7" w:rsidRPr="004A4BB6">
        <w:rPr>
          <w:b/>
        </w:rPr>
        <w:t>ENI SHPK”</w:t>
      </w:r>
      <w:r w:rsidR="0015345C" w:rsidRPr="00EB2DD9">
        <w:t>,</w:t>
      </w:r>
      <w:r w:rsidR="00BB0D7E" w:rsidRPr="00EB2DD9">
        <w:rPr>
          <w:sz w:val="22"/>
          <w:szCs w:val="22"/>
        </w:rPr>
        <w:t xml:space="preserve"> </w:t>
      </w:r>
      <w:r w:rsidR="0022134D" w:rsidRPr="00EB2DD9">
        <w:rPr>
          <w:sz w:val="22"/>
          <w:szCs w:val="22"/>
        </w:rPr>
        <w:t>ë</w:t>
      </w:r>
      <w:r w:rsidR="00BB0D7E" w:rsidRPr="00EB2DD9">
        <w:rPr>
          <w:sz w:val="22"/>
          <w:szCs w:val="22"/>
        </w:rPr>
        <w:t>sht</w:t>
      </w:r>
      <w:r w:rsidR="0022134D" w:rsidRPr="00EB2DD9">
        <w:rPr>
          <w:sz w:val="22"/>
          <w:szCs w:val="22"/>
        </w:rPr>
        <w:t>ë</w:t>
      </w:r>
      <w:r w:rsidR="00BB0D7E" w:rsidRPr="00EB2DD9">
        <w:rPr>
          <w:sz w:val="22"/>
          <w:szCs w:val="22"/>
        </w:rPr>
        <w:t xml:space="preserve"> </w:t>
      </w:r>
      <w:r w:rsidR="0015345C" w:rsidRPr="00EB2DD9">
        <w:rPr>
          <w:sz w:val="22"/>
          <w:szCs w:val="22"/>
        </w:rPr>
        <w:t>themeluar</w:t>
      </w:r>
      <w:r w:rsidR="00BB0D7E" w:rsidRPr="00EB2DD9">
        <w:rPr>
          <w:sz w:val="22"/>
          <w:szCs w:val="22"/>
        </w:rPr>
        <w:t xml:space="preserve"> si nj</w:t>
      </w:r>
      <w:r w:rsidR="0022134D" w:rsidRPr="00EB2DD9">
        <w:rPr>
          <w:sz w:val="22"/>
          <w:szCs w:val="22"/>
        </w:rPr>
        <w:t>ë</w:t>
      </w:r>
      <w:r w:rsidR="00BB0D7E" w:rsidRPr="00EB2DD9">
        <w:rPr>
          <w:sz w:val="22"/>
          <w:szCs w:val="22"/>
        </w:rPr>
        <w:t xml:space="preserve"> shoq</w:t>
      </w:r>
      <w:r w:rsidR="0022134D" w:rsidRPr="00EB2DD9">
        <w:rPr>
          <w:sz w:val="22"/>
          <w:szCs w:val="22"/>
        </w:rPr>
        <w:t>ë</w:t>
      </w:r>
      <w:r w:rsidR="00BB0D7E" w:rsidRPr="00EB2DD9">
        <w:rPr>
          <w:sz w:val="22"/>
          <w:szCs w:val="22"/>
        </w:rPr>
        <w:t>r</w:t>
      </w:r>
      <w:r w:rsidR="007509C4" w:rsidRPr="00EB2DD9">
        <w:rPr>
          <w:sz w:val="22"/>
          <w:szCs w:val="22"/>
        </w:rPr>
        <w:t>i me p</w:t>
      </w:r>
      <w:r w:rsidR="0022134D" w:rsidRPr="00EB2DD9">
        <w:rPr>
          <w:sz w:val="22"/>
          <w:szCs w:val="22"/>
        </w:rPr>
        <w:t>ë</w:t>
      </w:r>
      <w:r w:rsidR="007509C4" w:rsidRPr="00EB2DD9">
        <w:rPr>
          <w:sz w:val="22"/>
          <w:szCs w:val="22"/>
        </w:rPr>
        <w:t>rgjegj</w:t>
      </w:r>
      <w:r w:rsidR="0022134D" w:rsidRPr="00EB2DD9">
        <w:rPr>
          <w:sz w:val="22"/>
          <w:szCs w:val="22"/>
        </w:rPr>
        <w:t>ë</w:t>
      </w:r>
      <w:r w:rsidR="007509C4" w:rsidRPr="00EB2DD9">
        <w:rPr>
          <w:sz w:val="22"/>
          <w:szCs w:val="22"/>
        </w:rPr>
        <w:t>si t</w:t>
      </w:r>
      <w:r w:rsidR="0022134D" w:rsidRPr="00EB2DD9">
        <w:rPr>
          <w:sz w:val="22"/>
          <w:szCs w:val="22"/>
        </w:rPr>
        <w:t>ë</w:t>
      </w:r>
      <w:r w:rsidR="007509C4" w:rsidRPr="00EB2DD9">
        <w:rPr>
          <w:sz w:val="22"/>
          <w:szCs w:val="22"/>
        </w:rPr>
        <w:t xml:space="preserve"> kufizuar m</w:t>
      </w:r>
      <w:r w:rsidR="0022134D" w:rsidRPr="00EB2DD9">
        <w:rPr>
          <w:sz w:val="22"/>
          <w:szCs w:val="22"/>
        </w:rPr>
        <w:t>ë</w:t>
      </w:r>
      <w:r w:rsidR="00166BB7" w:rsidRPr="00EB2DD9">
        <w:rPr>
          <w:sz w:val="22"/>
          <w:szCs w:val="22"/>
        </w:rPr>
        <w:t xml:space="preserve"> 27</w:t>
      </w:r>
      <w:r w:rsidR="0015345C" w:rsidRPr="00EB2DD9">
        <w:rPr>
          <w:b/>
          <w:sz w:val="22"/>
          <w:szCs w:val="22"/>
        </w:rPr>
        <w:t xml:space="preserve"> </w:t>
      </w:r>
      <w:r w:rsidR="00166BB7" w:rsidRPr="00EB2DD9">
        <w:rPr>
          <w:sz w:val="22"/>
          <w:szCs w:val="22"/>
        </w:rPr>
        <w:t>Gusht</w:t>
      </w:r>
      <w:r w:rsidR="0015345C" w:rsidRPr="00EB2DD9">
        <w:rPr>
          <w:sz w:val="22"/>
          <w:szCs w:val="22"/>
        </w:rPr>
        <w:t xml:space="preserve"> </w:t>
      </w:r>
      <w:r w:rsidR="00166BB7" w:rsidRPr="00EB2DD9">
        <w:rPr>
          <w:sz w:val="22"/>
          <w:szCs w:val="22"/>
        </w:rPr>
        <w:t>1993</w:t>
      </w:r>
      <w:r w:rsidR="00BE29B2" w:rsidRPr="00EB2DD9">
        <w:rPr>
          <w:sz w:val="22"/>
          <w:szCs w:val="22"/>
        </w:rPr>
        <w:t xml:space="preserve"> me</w:t>
      </w:r>
      <w:r w:rsidR="007509C4" w:rsidRPr="00EB2DD9">
        <w:rPr>
          <w:sz w:val="22"/>
          <w:szCs w:val="22"/>
        </w:rPr>
        <w:t xml:space="preserve"> ortak t</w:t>
      </w:r>
      <w:r w:rsidR="0022134D" w:rsidRPr="00EB2DD9">
        <w:rPr>
          <w:sz w:val="22"/>
          <w:szCs w:val="22"/>
        </w:rPr>
        <w:t>ë</w:t>
      </w:r>
      <w:r w:rsidR="007509C4" w:rsidRPr="00EB2DD9">
        <w:rPr>
          <w:sz w:val="22"/>
          <w:szCs w:val="22"/>
        </w:rPr>
        <w:t xml:space="preserve"> vet</w:t>
      </w:r>
      <w:r w:rsidR="0022134D" w:rsidRPr="00EB2DD9">
        <w:rPr>
          <w:sz w:val="22"/>
          <w:szCs w:val="22"/>
        </w:rPr>
        <w:t>ë</w:t>
      </w:r>
      <w:r w:rsidR="007509C4" w:rsidRPr="00EB2DD9">
        <w:rPr>
          <w:sz w:val="22"/>
          <w:szCs w:val="22"/>
        </w:rPr>
        <w:t xml:space="preserve">m </w:t>
      </w:r>
      <w:r w:rsidR="00166BB7" w:rsidRPr="004A4BB6">
        <w:rPr>
          <w:b/>
          <w:sz w:val="22"/>
          <w:szCs w:val="22"/>
        </w:rPr>
        <w:t>Z</w:t>
      </w:r>
      <w:r w:rsidR="0015345C" w:rsidRPr="004A4BB6">
        <w:rPr>
          <w:b/>
          <w:sz w:val="22"/>
          <w:szCs w:val="22"/>
        </w:rPr>
        <w:t>.</w:t>
      </w:r>
      <w:r w:rsidR="007D24C7" w:rsidRPr="004A4BB6">
        <w:rPr>
          <w:b/>
          <w:sz w:val="22"/>
          <w:szCs w:val="22"/>
        </w:rPr>
        <w:t>Agron Bregu</w:t>
      </w:r>
      <w:r w:rsidR="00E6655B" w:rsidRPr="00EB2DD9">
        <w:rPr>
          <w:sz w:val="22"/>
          <w:szCs w:val="22"/>
        </w:rPr>
        <w:t xml:space="preserve">. </w:t>
      </w:r>
      <w:r w:rsidR="00BE29B2" w:rsidRPr="00EB2DD9">
        <w:rPr>
          <w:sz w:val="22"/>
          <w:szCs w:val="22"/>
        </w:rPr>
        <w:t xml:space="preserve">Kapitali rregjistruar aktualisht </w:t>
      </w:r>
      <w:r w:rsidR="0022134D" w:rsidRPr="00EB2DD9">
        <w:rPr>
          <w:sz w:val="22"/>
          <w:szCs w:val="22"/>
        </w:rPr>
        <w:t>ë</w:t>
      </w:r>
      <w:r w:rsidR="00BE29B2" w:rsidRPr="00EB2DD9">
        <w:rPr>
          <w:sz w:val="22"/>
          <w:szCs w:val="22"/>
        </w:rPr>
        <w:t>sht</w:t>
      </w:r>
      <w:r w:rsidR="0022134D" w:rsidRPr="00EB2DD9">
        <w:rPr>
          <w:sz w:val="22"/>
          <w:szCs w:val="22"/>
        </w:rPr>
        <w:t>ë</w:t>
      </w:r>
      <w:r w:rsidR="00BE29B2" w:rsidRPr="00EB2DD9">
        <w:rPr>
          <w:sz w:val="22"/>
          <w:szCs w:val="22"/>
        </w:rPr>
        <w:t xml:space="preserve"> </w:t>
      </w:r>
      <w:r w:rsidR="007D24C7" w:rsidRPr="00EB2DD9">
        <w:rPr>
          <w:sz w:val="22"/>
          <w:szCs w:val="22"/>
        </w:rPr>
        <w:t>50.000.000</w:t>
      </w:r>
      <w:r w:rsidR="00BE29B2" w:rsidRPr="00EB2DD9">
        <w:rPr>
          <w:sz w:val="22"/>
          <w:szCs w:val="22"/>
        </w:rPr>
        <w:t xml:space="preserve"> lek</w:t>
      </w:r>
      <w:r w:rsidR="0022134D" w:rsidRPr="00EB2DD9">
        <w:rPr>
          <w:sz w:val="22"/>
          <w:szCs w:val="22"/>
        </w:rPr>
        <w:t>ë</w:t>
      </w:r>
      <w:r w:rsidR="00BE29B2" w:rsidRPr="00EB2DD9">
        <w:rPr>
          <w:sz w:val="22"/>
          <w:szCs w:val="22"/>
        </w:rPr>
        <w:t xml:space="preserve"> dhe zot</w:t>
      </w:r>
      <w:r w:rsidR="0022134D" w:rsidRPr="00EB2DD9">
        <w:rPr>
          <w:sz w:val="22"/>
          <w:szCs w:val="22"/>
        </w:rPr>
        <w:t>ë</w:t>
      </w:r>
      <w:r w:rsidR="00BE29B2" w:rsidRPr="00EB2DD9">
        <w:rPr>
          <w:sz w:val="22"/>
          <w:szCs w:val="22"/>
        </w:rPr>
        <w:t>rohet t</w:t>
      </w:r>
      <w:r w:rsidR="0022134D" w:rsidRPr="00EB2DD9">
        <w:rPr>
          <w:sz w:val="22"/>
          <w:szCs w:val="22"/>
        </w:rPr>
        <w:t>ë</w:t>
      </w:r>
      <w:r w:rsidR="00BE29B2" w:rsidRPr="00EB2DD9">
        <w:rPr>
          <w:sz w:val="22"/>
          <w:szCs w:val="22"/>
        </w:rPr>
        <w:t>r</w:t>
      </w:r>
      <w:r w:rsidR="0022134D" w:rsidRPr="00EB2DD9">
        <w:rPr>
          <w:sz w:val="22"/>
          <w:szCs w:val="22"/>
        </w:rPr>
        <w:t>ë</w:t>
      </w:r>
      <w:r w:rsidR="00BE29B2" w:rsidRPr="00EB2DD9">
        <w:rPr>
          <w:sz w:val="22"/>
          <w:szCs w:val="22"/>
        </w:rPr>
        <w:t>sisht nga ortaku themelues.</w:t>
      </w:r>
    </w:p>
    <w:p w:rsidR="001D6583" w:rsidRPr="00EB2DD9" w:rsidRDefault="001D6583" w:rsidP="001B6FCD">
      <w:pPr>
        <w:ind w:left="360"/>
        <w:jc w:val="both"/>
        <w:rPr>
          <w:sz w:val="22"/>
          <w:szCs w:val="22"/>
        </w:rPr>
      </w:pPr>
    </w:p>
    <w:p w:rsidR="00AF4FF9" w:rsidRDefault="00AF4FF9" w:rsidP="001B6FCD">
      <w:pPr>
        <w:ind w:left="360"/>
        <w:jc w:val="both"/>
        <w:rPr>
          <w:sz w:val="22"/>
          <w:szCs w:val="22"/>
        </w:rPr>
      </w:pPr>
    </w:p>
    <w:p w:rsidR="001D6583" w:rsidRPr="00EB2DD9" w:rsidRDefault="00B33AC4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K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to pasqyra financiare jan</w:t>
      </w:r>
      <w:r w:rsidR="0022134D" w:rsidRPr="00EB2DD9">
        <w:rPr>
          <w:sz w:val="22"/>
          <w:szCs w:val="22"/>
        </w:rPr>
        <w:t>ë</w:t>
      </w:r>
      <w:r w:rsidR="00166BB7" w:rsidRPr="00EB2DD9">
        <w:rPr>
          <w:sz w:val="22"/>
          <w:szCs w:val="22"/>
        </w:rPr>
        <w:t xml:space="preserve"> paraqitur n</w:t>
      </w:r>
      <w:r w:rsidR="0022134D" w:rsidRPr="00EB2DD9">
        <w:rPr>
          <w:sz w:val="22"/>
          <w:szCs w:val="22"/>
        </w:rPr>
        <w:t>ë</w:t>
      </w:r>
      <w:r w:rsidR="00166BB7" w:rsidRPr="00EB2DD9">
        <w:rPr>
          <w:sz w:val="22"/>
          <w:szCs w:val="22"/>
        </w:rPr>
        <w:t xml:space="preserve"> lek</w:t>
      </w:r>
      <w:r w:rsidR="0022134D" w:rsidRPr="00EB2DD9">
        <w:rPr>
          <w:sz w:val="22"/>
          <w:szCs w:val="22"/>
        </w:rPr>
        <w:t>ë</w:t>
      </w:r>
      <w:r w:rsidR="00166BB7" w:rsidRPr="00EB2DD9">
        <w:rPr>
          <w:sz w:val="22"/>
          <w:szCs w:val="22"/>
        </w:rPr>
        <w:t xml:space="preserve"> Shqiptare (Lek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) meq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n</w:t>
      </w:r>
      <w:r w:rsidR="00A43E12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se kjo 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sht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monedha n</w:t>
      </w:r>
      <w:r w:rsidR="0022134D" w:rsidRPr="00EB2DD9">
        <w:rPr>
          <w:sz w:val="22"/>
          <w:szCs w:val="22"/>
        </w:rPr>
        <w:t>ë</w:t>
      </w:r>
      <w:r w:rsidR="007D24C7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t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cil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n jan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kryer pjesa m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e madhe e transaksioneve t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Shoq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ris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.</w:t>
      </w:r>
    </w:p>
    <w:p w:rsidR="00B33AC4" w:rsidRPr="00EB2DD9" w:rsidRDefault="00B33AC4" w:rsidP="001B6FCD">
      <w:pPr>
        <w:ind w:left="360"/>
        <w:jc w:val="both"/>
        <w:rPr>
          <w:sz w:val="22"/>
          <w:szCs w:val="22"/>
        </w:rPr>
      </w:pPr>
    </w:p>
    <w:p w:rsidR="00B33AC4" w:rsidRPr="00EB2DD9" w:rsidRDefault="00B33AC4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AKTIVITET</w:t>
      </w:r>
      <w:r w:rsidR="007D24C7" w:rsidRPr="00EB2DD9">
        <w:rPr>
          <w:sz w:val="22"/>
          <w:szCs w:val="22"/>
        </w:rPr>
        <w:t>I</w:t>
      </w:r>
      <w:r w:rsidRPr="00EB2DD9">
        <w:rPr>
          <w:sz w:val="22"/>
          <w:szCs w:val="22"/>
        </w:rPr>
        <w:t xml:space="preserve"> KRYESOR</w:t>
      </w:r>
    </w:p>
    <w:p w:rsidR="00B33AC4" w:rsidRPr="00EB2DD9" w:rsidRDefault="00B33AC4" w:rsidP="001B6FCD">
      <w:pPr>
        <w:ind w:left="360"/>
        <w:jc w:val="both"/>
        <w:rPr>
          <w:sz w:val="22"/>
          <w:szCs w:val="22"/>
        </w:rPr>
      </w:pPr>
    </w:p>
    <w:p w:rsidR="00916AC8" w:rsidRDefault="00BD4706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 xml:space="preserve">Veprimtaria </w:t>
      </w:r>
      <w:r w:rsidR="00304514" w:rsidRPr="00EB2DD9">
        <w:rPr>
          <w:sz w:val="22"/>
          <w:szCs w:val="22"/>
        </w:rPr>
        <w:t xml:space="preserve">kryesore </w:t>
      </w:r>
      <w:r w:rsidRPr="00EB2DD9">
        <w:rPr>
          <w:sz w:val="22"/>
          <w:szCs w:val="22"/>
        </w:rPr>
        <w:t>tregtare e shoq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ris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p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r </w:t>
      </w:r>
      <w:r w:rsidR="007916C8">
        <w:rPr>
          <w:sz w:val="22"/>
          <w:szCs w:val="22"/>
        </w:rPr>
        <w:t>ushtrimin 201</w:t>
      </w:r>
      <w:r w:rsidR="00916AC8">
        <w:rPr>
          <w:sz w:val="22"/>
          <w:szCs w:val="22"/>
        </w:rPr>
        <w:t>2</w:t>
      </w:r>
    </w:p>
    <w:p w:rsidR="00BB0D7E" w:rsidRPr="00EB2DD9" w:rsidRDefault="00BB0D7E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 xml:space="preserve"> </w:t>
      </w:r>
      <w:r w:rsidR="004E0870" w:rsidRPr="00EB2DD9">
        <w:rPr>
          <w:sz w:val="22"/>
          <w:szCs w:val="22"/>
        </w:rPr>
        <w:t>jan</w:t>
      </w:r>
      <w:r w:rsidR="0022134D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</w:t>
      </w:r>
      <w:r w:rsidR="00E6655B" w:rsidRPr="00915B36">
        <w:rPr>
          <w:b/>
        </w:rPr>
        <w:t>sh</w:t>
      </w:r>
      <w:r w:rsidR="0022134D" w:rsidRPr="00915B36">
        <w:rPr>
          <w:b/>
        </w:rPr>
        <w:t>ë</w:t>
      </w:r>
      <w:r w:rsidR="00E6655B" w:rsidRPr="00915B36">
        <w:rPr>
          <w:b/>
        </w:rPr>
        <w:t>rbimet n</w:t>
      </w:r>
      <w:r w:rsidR="0022134D" w:rsidRPr="00915B36">
        <w:rPr>
          <w:b/>
        </w:rPr>
        <w:t>ë</w:t>
      </w:r>
      <w:r w:rsidR="00E6655B" w:rsidRPr="00915B36">
        <w:rPr>
          <w:b/>
        </w:rPr>
        <w:t xml:space="preserve"> fush</w:t>
      </w:r>
      <w:r w:rsidR="0022134D" w:rsidRPr="00915B36">
        <w:rPr>
          <w:b/>
        </w:rPr>
        <w:t>ë</w:t>
      </w:r>
      <w:r w:rsidR="00E6655B" w:rsidRPr="00915B36">
        <w:rPr>
          <w:b/>
        </w:rPr>
        <w:t>n e nd</w:t>
      </w:r>
      <w:r w:rsidR="0022134D" w:rsidRPr="00915B36">
        <w:rPr>
          <w:b/>
        </w:rPr>
        <w:t>ë</w:t>
      </w:r>
      <w:r w:rsidR="00E6655B" w:rsidRPr="00915B36">
        <w:rPr>
          <w:b/>
        </w:rPr>
        <w:t>rtimit</w:t>
      </w:r>
      <w:r w:rsidR="00E6655B" w:rsidRPr="00EB2DD9">
        <w:rPr>
          <w:sz w:val="22"/>
          <w:szCs w:val="22"/>
        </w:rPr>
        <w:t>.</w:t>
      </w:r>
    </w:p>
    <w:p w:rsidR="00C74B61" w:rsidRPr="00EB2DD9" w:rsidRDefault="00C74B61" w:rsidP="001B6FCD">
      <w:pPr>
        <w:ind w:left="360"/>
        <w:jc w:val="both"/>
        <w:rPr>
          <w:sz w:val="22"/>
          <w:szCs w:val="22"/>
        </w:rPr>
      </w:pPr>
    </w:p>
    <w:p w:rsidR="00090E12" w:rsidRPr="00EB2DD9" w:rsidRDefault="00090E12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DREJTUESIT</w:t>
      </w:r>
    </w:p>
    <w:p w:rsidR="00090E12" w:rsidRPr="00EB2DD9" w:rsidRDefault="00090E12" w:rsidP="001B6FCD">
      <w:pPr>
        <w:ind w:left="360"/>
        <w:jc w:val="both"/>
        <w:rPr>
          <w:sz w:val="22"/>
          <w:szCs w:val="22"/>
        </w:rPr>
      </w:pPr>
    </w:p>
    <w:p w:rsidR="00090E12" w:rsidRPr="00EB2DD9" w:rsidRDefault="00090E12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BORDI DREJTUES</w:t>
      </w:r>
    </w:p>
    <w:p w:rsidR="00090E12" w:rsidRPr="00EB2DD9" w:rsidRDefault="00090E12" w:rsidP="001B6FCD">
      <w:pPr>
        <w:ind w:left="360"/>
        <w:jc w:val="both"/>
        <w:rPr>
          <w:sz w:val="22"/>
          <w:szCs w:val="22"/>
        </w:rPr>
      </w:pPr>
    </w:p>
    <w:p w:rsidR="00090E12" w:rsidRPr="00EB2DD9" w:rsidRDefault="00090E12" w:rsidP="001B6FCD">
      <w:pPr>
        <w:ind w:left="360"/>
        <w:jc w:val="both"/>
        <w:rPr>
          <w:b/>
          <w:sz w:val="22"/>
          <w:szCs w:val="22"/>
          <w:lang w:val="es-ES"/>
        </w:rPr>
      </w:pPr>
      <w:r w:rsidRPr="00EB2DD9">
        <w:rPr>
          <w:b/>
          <w:sz w:val="22"/>
          <w:szCs w:val="22"/>
          <w:lang w:val="es-ES"/>
        </w:rPr>
        <w:t>EMRI</w:t>
      </w:r>
      <w:r w:rsidRPr="00EB2DD9">
        <w:rPr>
          <w:b/>
          <w:sz w:val="22"/>
          <w:szCs w:val="22"/>
          <w:lang w:val="es-ES"/>
        </w:rPr>
        <w:tab/>
      </w:r>
      <w:r w:rsidRPr="00EB2DD9">
        <w:rPr>
          <w:b/>
          <w:sz w:val="22"/>
          <w:szCs w:val="22"/>
          <w:lang w:val="es-ES"/>
        </w:rPr>
        <w:tab/>
      </w:r>
      <w:r w:rsidRPr="00EB2DD9">
        <w:rPr>
          <w:b/>
          <w:sz w:val="22"/>
          <w:szCs w:val="22"/>
          <w:lang w:val="es-ES"/>
        </w:rPr>
        <w:tab/>
        <w:t>FUNKSIONI</w:t>
      </w:r>
      <w:r w:rsidRPr="00EB2DD9">
        <w:rPr>
          <w:b/>
          <w:sz w:val="22"/>
          <w:szCs w:val="22"/>
          <w:lang w:val="es-ES"/>
        </w:rPr>
        <w:tab/>
      </w:r>
      <w:r w:rsidRPr="00EB2DD9">
        <w:rPr>
          <w:b/>
          <w:sz w:val="22"/>
          <w:szCs w:val="22"/>
          <w:lang w:val="es-ES"/>
        </w:rPr>
        <w:tab/>
      </w:r>
      <w:r w:rsidRPr="00EB2DD9">
        <w:rPr>
          <w:b/>
          <w:sz w:val="22"/>
          <w:szCs w:val="22"/>
          <w:lang w:val="es-ES"/>
        </w:rPr>
        <w:tab/>
        <w:t>VENDI</w:t>
      </w:r>
    </w:p>
    <w:p w:rsidR="00090E12" w:rsidRPr="00EB2DD9" w:rsidRDefault="00725852" w:rsidP="001B6FCD">
      <w:pPr>
        <w:ind w:left="360"/>
        <w:jc w:val="both"/>
        <w:rPr>
          <w:sz w:val="22"/>
          <w:szCs w:val="22"/>
          <w:lang w:val="es-ES"/>
        </w:rPr>
      </w:pPr>
      <w:r w:rsidRPr="00EB2DD9">
        <w:rPr>
          <w:sz w:val="22"/>
          <w:szCs w:val="22"/>
          <w:lang w:val="es-ES"/>
        </w:rPr>
        <w:t>Agron BREGU</w:t>
      </w:r>
      <w:r w:rsidRPr="00EB2DD9">
        <w:rPr>
          <w:sz w:val="22"/>
          <w:szCs w:val="22"/>
          <w:lang w:val="es-ES"/>
        </w:rPr>
        <w:tab/>
      </w:r>
      <w:r w:rsidRPr="00EB2DD9">
        <w:rPr>
          <w:sz w:val="22"/>
          <w:szCs w:val="22"/>
          <w:lang w:val="es-ES"/>
        </w:rPr>
        <w:tab/>
        <w:t>Administrador</w:t>
      </w:r>
      <w:r w:rsidRPr="00EB2DD9">
        <w:rPr>
          <w:sz w:val="22"/>
          <w:szCs w:val="22"/>
          <w:lang w:val="es-ES"/>
        </w:rPr>
        <w:tab/>
      </w:r>
      <w:r w:rsidRPr="00EB2DD9">
        <w:rPr>
          <w:sz w:val="22"/>
          <w:szCs w:val="22"/>
          <w:lang w:val="es-ES"/>
        </w:rPr>
        <w:tab/>
      </w:r>
      <w:r w:rsidRPr="00EB2DD9">
        <w:rPr>
          <w:sz w:val="22"/>
          <w:szCs w:val="22"/>
          <w:lang w:val="es-ES"/>
        </w:rPr>
        <w:tab/>
        <w:t>TIRANE</w:t>
      </w:r>
    </w:p>
    <w:p w:rsidR="001D6583" w:rsidRPr="00EB2DD9" w:rsidRDefault="001D6583" w:rsidP="001B6FCD">
      <w:pPr>
        <w:ind w:left="360"/>
        <w:jc w:val="both"/>
        <w:rPr>
          <w:sz w:val="22"/>
          <w:szCs w:val="22"/>
          <w:lang w:val="es-ES"/>
        </w:rPr>
      </w:pPr>
    </w:p>
    <w:p w:rsidR="00BB0D7E" w:rsidRPr="00EB2DD9" w:rsidRDefault="00BB0D7E" w:rsidP="001B6FCD">
      <w:pPr>
        <w:numPr>
          <w:ilvl w:val="0"/>
          <w:numId w:val="1"/>
        </w:numPr>
        <w:jc w:val="both"/>
        <w:rPr>
          <w:b/>
          <w:sz w:val="22"/>
          <w:szCs w:val="22"/>
          <w:u w:val="single"/>
          <w:lang w:val="es-ES"/>
        </w:rPr>
      </w:pPr>
      <w:r w:rsidRPr="00EB2DD9">
        <w:rPr>
          <w:b/>
          <w:sz w:val="22"/>
          <w:szCs w:val="22"/>
          <w:u w:val="single"/>
          <w:lang w:val="es-ES"/>
        </w:rPr>
        <w:t>P</w:t>
      </w:r>
      <w:r w:rsidR="00D34412" w:rsidRPr="00EB2DD9">
        <w:rPr>
          <w:b/>
          <w:sz w:val="22"/>
          <w:szCs w:val="22"/>
          <w:u w:val="single"/>
          <w:lang w:val="es-ES"/>
        </w:rPr>
        <w:t>ERMBLEDHJE E POLITIKAVE KRYESORE KONTABEL</w:t>
      </w:r>
    </w:p>
    <w:p w:rsidR="00C74B61" w:rsidRPr="00EB2DD9" w:rsidRDefault="00C74B61" w:rsidP="001B6FCD">
      <w:pPr>
        <w:jc w:val="both"/>
        <w:rPr>
          <w:b/>
          <w:sz w:val="22"/>
          <w:szCs w:val="22"/>
          <w:u w:val="single"/>
          <w:lang w:val="es-ES"/>
        </w:rPr>
      </w:pPr>
    </w:p>
    <w:p w:rsidR="00BB0D7E" w:rsidRPr="00EB2DD9" w:rsidRDefault="00BB0D7E" w:rsidP="001B6FCD">
      <w:pPr>
        <w:ind w:firstLine="360"/>
        <w:jc w:val="both"/>
        <w:rPr>
          <w:b/>
          <w:sz w:val="22"/>
          <w:szCs w:val="22"/>
          <w:u w:val="single"/>
          <w:lang w:val="es-ES"/>
        </w:rPr>
      </w:pPr>
      <w:r w:rsidRPr="00EB2DD9">
        <w:rPr>
          <w:b/>
          <w:sz w:val="22"/>
          <w:szCs w:val="22"/>
          <w:u w:val="single"/>
          <w:lang w:val="es-ES"/>
        </w:rPr>
        <w:t>Bazat e p</w:t>
      </w:r>
      <w:r w:rsidR="0022134D" w:rsidRPr="00EB2DD9">
        <w:rPr>
          <w:b/>
          <w:sz w:val="22"/>
          <w:szCs w:val="22"/>
          <w:u w:val="single"/>
          <w:lang w:val="es-ES"/>
        </w:rPr>
        <w:t>ë</w:t>
      </w:r>
      <w:r w:rsidRPr="00EB2DD9">
        <w:rPr>
          <w:b/>
          <w:sz w:val="22"/>
          <w:szCs w:val="22"/>
          <w:u w:val="single"/>
          <w:lang w:val="es-ES"/>
        </w:rPr>
        <w:t>rgatitjes s</w:t>
      </w:r>
      <w:r w:rsidR="004120A5" w:rsidRPr="00EB2DD9">
        <w:rPr>
          <w:b/>
          <w:sz w:val="22"/>
          <w:szCs w:val="22"/>
          <w:u w:val="single"/>
          <w:lang w:val="es-ES"/>
        </w:rPr>
        <w:t>ë</w:t>
      </w:r>
      <w:r w:rsidRPr="00EB2DD9">
        <w:rPr>
          <w:b/>
          <w:sz w:val="22"/>
          <w:szCs w:val="22"/>
          <w:u w:val="single"/>
          <w:lang w:val="es-ES"/>
        </w:rPr>
        <w:t xml:space="preserve"> pasqyrave financiare</w:t>
      </w:r>
    </w:p>
    <w:p w:rsidR="00BB0D7E" w:rsidRPr="00EB2DD9" w:rsidRDefault="00BB0D7E" w:rsidP="001B6FCD">
      <w:pPr>
        <w:tabs>
          <w:tab w:val="left" w:pos="374"/>
        </w:tabs>
        <w:ind w:left="360"/>
        <w:jc w:val="both"/>
        <w:rPr>
          <w:sz w:val="22"/>
          <w:szCs w:val="22"/>
          <w:lang w:val="es-ES"/>
        </w:rPr>
      </w:pPr>
    </w:p>
    <w:p w:rsidR="00095CA8" w:rsidRPr="00EB2DD9" w:rsidRDefault="00113F5B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  <w:lang w:val="es-ES"/>
        </w:rPr>
        <w:t>Pasqyrat financiare janë pë</w:t>
      </w:r>
      <w:r w:rsidR="00BB0D7E" w:rsidRPr="00EB2DD9">
        <w:rPr>
          <w:sz w:val="22"/>
          <w:szCs w:val="22"/>
        </w:rPr>
        <w:t xml:space="preserve">rgatitur në përputhje me ligjin shqiptar ‘Për kontabilitetin dhe Pasqyrat Financiare” dhe me </w:t>
      </w:r>
      <w:r w:rsidR="00E574DC" w:rsidRPr="00EB2DD9">
        <w:rPr>
          <w:sz w:val="22"/>
          <w:szCs w:val="22"/>
        </w:rPr>
        <w:t>Standartet Kombëtare të Kontabilitetit</w:t>
      </w:r>
      <w:r w:rsidR="00095CA8" w:rsidRPr="00EB2DD9">
        <w:rPr>
          <w:sz w:val="22"/>
          <w:szCs w:val="22"/>
        </w:rPr>
        <w:t xml:space="preserve"> ( S.K.K ) </w:t>
      </w:r>
      <w:r w:rsidR="00BB0D7E" w:rsidRPr="00EB2DD9">
        <w:rPr>
          <w:sz w:val="22"/>
          <w:szCs w:val="22"/>
        </w:rPr>
        <w:t xml:space="preserve">. </w:t>
      </w:r>
    </w:p>
    <w:p w:rsidR="004D7AD4" w:rsidRPr="00EB2DD9" w:rsidRDefault="00095CA8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</w:rPr>
        <w:t xml:space="preserve">Pasqyrat financiare </w:t>
      </w:r>
      <w:r w:rsidR="00113F5B" w:rsidRPr="00EB2DD9">
        <w:rPr>
          <w:sz w:val="22"/>
          <w:szCs w:val="22"/>
          <w:lang w:val="pt-BR"/>
        </w:rPr>
        <w:t>janë</w:t>
      </w:r>
      <w:r w:rsidR="00BB0D7E" w:rsidRPr="00EB2DD9">
        <w:rPr>
          <w:sz w:val="22"/>
          <w:szCs w:val="22"/>
          <w:lang w:val="pt-BR"/>
        </w:rPr>
        <w:t xml:space="preserve"> p</w:t>
      </w:r>
      <w:r w:rsidR="00113F5B" w:rsidRPr="00EB2DD9">
        <w:rPr>
          <w:sz w:val="22"/>
          <w:szCs w:val="22"/>
          <w:lang w:val="pt-BR"/>
        </w:rPr>
        <w:t xml:space="preserve">ërgatitur mbi </w:t>
      </w:r>
      <w:r w:rsidR="00BB0D7E" w:rsidRPr="00EB2DD9">
        <w:rPr>
          <w:sz w:val="22"/>
          <w:szCs w:val="22"/>
          <w:lang w:val="pt-BR"/>
        </w:rPr>
        <w:t>baz</w:t>
      </w:r>
      <w:r w:rsidR="00113F5B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>n e parimit t</w:t>
      </w:r>
      <w:r w:rsidR="00113F5B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 xml:space="preserve"> kostos historike</w:t>
      </w:r>
      <w:r w:rsidR="00DF4B6D" w:rsidRPr="00EB2DD9">
        <w:rPr>
          <w:sz w:val="22"/>
          <w:szCs w:val="22"/>
          <w:lang w:val="pt-BR"/>
        </w:rPr>
        <w:t xml:space="preserve">, </w:t>
      </w:r>
      <w:r w:rsidR="00DF4B6D" w:rsidRPr="00EB2DD9">
        <w:rPr>
          <w:color w:val="000000"/>
          <w:sz w:val="22"/>
          <w:szCs w:val="22"/>
        </w:rPr>
        <w:t>duke e kombinuar me element</w:t>
      </w:r>
      <w:r w:rsidR="00113F5B" w:rsidRPr="00EB2DD9">
        <w:rPr>
          <w:color w:val="000000"/>
          <w:sz w:val="22"/>
          <w:szCs w:val="22"/>
        </w:rPr>
        <w:t>ë</w:t>
      </w:r>
      <w:r w:rsidR="00DF4B6D" w:rsidRPr="00EB2DD9">
        <w:rPr>
          <w:color w:val="868589"/>
          <w:sz w:val="20"/>
          <w:szCs w:val="20"/>
        </w:rPr>
        <w:t xml:space="preserve"> </w:t>
      </w:r>
      <w:r w:rsidR="00DF4B6D" w:rsidRPr="00EB2DD9">
        <w:rPr>
          <w:color w:val="000000"/>
          <w:sz w:val="22"/>
          <w:szCs w:val="22"/>
        </w:rPr>
        <w:t>të metodave të tjera</w:t>
      </w:r>
      <w:r w:rsidR="00DF4B6D" w:rsidRPr="00EB2DD9">
        <w:rPr>
          <w:sz w:val="22"/>
          <w:szCs w:val="22"/>
          <w:lang w:val="pt-BR"/>
        </w:rPr>
        <w:t xml:space="preserve"> </w:t>
      </w:r>
      <w:r w:rsidR="00BB0D7E" w:rsidRPr="00EB2DD9">
        <w:rPr>
          <w:sz w:val="22"/>
          <w:szCs w:val="22"/>
          <w:lang w:val="pt-BR"/>
        </w:rPr>
        <w:t>dhe parimit t</w:t>
      </w:r>
      <w:r w:rsidR="00113F5B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 xml:space="preserve"> t</w:t>
      </w:r>
      <w:r w:rsidR="00113F5B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 xml:space="preserve"> drejtave t</w:t>
      </w:r>
      <w:r w:rsidR="00113F5B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 xml:space="preserve"> ko</w:t>
      </w:r>
      <w:r w:rsidR="00440F43" w:rsidRPr="00EB2DD9">
        <w:rPr>
          <w:sz w:val="22"/>
          <w:szCs w:val="22"/>
          <w:lang w:val="pt-BR"/>
        </w:rPr>
        <w:t>n</w:t>
      </w:r>
      <w:r w:rsidR="00BB0D7E" w:rsidRPr="00EB2DD9">
        <w:rPr>
          <w:sz w:val="22"/>
          <w:szCs w:val="22"/>
          <w:lang w:val="pt-BR"/>
        </w:rPr>
        <w:t>statuara.</w:t>
      </w:r>
      <w:r w:rsidR="00327A84" w:rsidRPr="00EB2DD9">
        <w:rPr>
          <w:sz w:val="22"/>
          <w:szCs w:val="22"/>
          <w:lang w:val="pt-BR"/>
        </w:rPr>
        <w:t xml:space="preserve"> </w:t>
      </w:r>
    </w:p>
    <w:p w:rsidR="00095CA8" w:rsidRPr="00EB2DD9" w:rsidRDefault="00095CA8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>Pasqyrat financiare t</w:t>
      </w:r>
      <w:r w:rsidR="00113F5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shoq</w:t>
      </w:r>
      <w:r w:rsidR="00113F5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ris</w:t>
      </w:r>
      <w:r w:rsidR="00113F5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p</w:t>
      </w:r>
      <w:r w:rsidR="00113F5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rgatiten cdo vit m</w:t>
      </w:r>
      <w:r w:rsidR="00113F5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31 Dhjetor.</w:t>
      </w:r>
    </w:p>
    <w:p w:rsidR="00095CA8" w:rsidRPr="00EB2DD9" w:rsidRDefault="00095CA8" w:rsidP="001B6FCD">
      <w:pPr>
        <w:ind w:left="360"/>
        <w:jc w:val="both"/>
        <w:rPr>
          <w:b/>
          <w:i/>
          <w:sz w:val="22"/>
          <w:szCs w:val="22"/>
          <w:lang w:val="pt-BR"/>
        </w:rPr>
      </w:pPr>
    </w:p>
    <w:p w:rsidR="004D7AD4" w:rsidRDefault="004D7AD4" w:rsidP="001B6FCD">
      <w:pPr>
        <w:ind w:left="360"/>
        <w:jc w:val="both"/>
        <w:rPr>
          <w:i/>
          <w:sz w:val="22"/>
          <w:szCs w:val="22"/>
          <w:lang w:val="pt-BR"/>
        </w:rPr>
      </w:pPr>
      <w:r w:rsidRPr="00EB2DD9">
        <w:rPr>
          <w:i/>
          <w:sz w:val="22"/>
          <w:szCs w:val="22"/>
          <w:lang w:val="pt-BR"/>
        </w:rPr>
        <w:t>N</w:t>
      </w:r>
      <w:r w:rsidR="00113F5B" w:rsidRPr="00EB2DD9">
        <w:rPr>
          <w:i/>
          <w:sz w:val="22"/>
          <w:szCs w:val="22"/>
          <w:lang w:val="pt-BR"/>
        </w:rPr>
        <w:t>ë</w:t>
      </w:r>
      <w:r w:rsidRPr="00EB2DD9">
        <w:rPr>
          <w:i/>
          <w:sz w:val="22"/>
          <w:szCs w:val="22"/>
          <w:lang w:val="pt-BR"/>
        </w:rPr>
        <w:t xml:space="preserve"> </w:t>
      </w:r>
      <w:r w:rsidR="005169B3" w:rsidRPr="00EB2DD9">
        <w:rPr>
          <w:i/>
          <w:sz w:val="22"/>
          <w:szCs w:val="22"/>
          <w:lang w:val="pt-BR"/>
        </w:rPr>
        <w:t>paraqitjen</w:t>
      </w:r>
      <w:r w:rsidRPr="00EB2DD9">
        <w:rPr>
          <w:i/>
          <w:sz w:val="22"/>
          <w:szCs w:val="22"/>
          <w:lang w:val="pt-BR"/>
        </w:rPr>
        <w:t xml:space="preserve"> e pasqyrave financiare t</w:t>
      </w:r>
      <w:r w:rsidR="00113F5B" w:rsidRPr="00EB2DD9">
        <w:rPr>
          <w:i/>
          <w:sz w:val="22"/>
          <w:szCs w:val="22"/>
          <w:lang w:val="pt-BR"/>
        </w:rPr>
        <w:t xml:space="preserve">ë </w:t>
      </w:r>
      <w:r w:rsidR="00587774">
        <w:rPr>
          <w:i/>
          <w:sz w:val="22"/>
          <w:szCs w:val="22"/>
          <w:lang w:val="pt-BR"/>
        </w:rPr>
        <w:t>vitit 201</w:t>
      </w:r>
      <w:r w:rsidR="00DB42EF">
        <w:rPr>
          <w:i/>
          <w:sz w:val="22"/>
          <w:szCs w:val="22"/>
          <w:lang w:val="pt-BR"/>
        </w:rPr>
        <w:t>2,</w:t>
      </w:r>
      <w:r w:rsidR="0082365C" w:rsidRPr="00EB2DD9">
        <w:rPr>
          <w:i/>
          <w:sz w:val="22"/>
          <w:szCs w:val="22"/>
          <w:lang w:val="pt-BR"/>
        </w:rPr>
        <w:t xml:space="preserve"> </w:t>
      </w:r>
      <w:r w:rsidR="00113F5B" w:rsidRPr="00EB2DD9">
        <w:rPr>
          <w:i/>
          <w:sz w:val="22"/>
          <w:szCs w:val="22"/>
          <w:lang w:val="pt-BR"/>
        </w:rPr>
        <w:t>ë</w:t>
      </w:r>
      <w:r w:rsidR="0082365C" w:rsidRPr="00EB2DD9">
        <w:rPr>
          <w:i/>
          <w:sz w:val="22"/>
          <w:szCs w:val="22"/>
          <w:lang w:val="pt-BR"/>
        </w:rPr>
        <w:t>sht</w:t>
      </w:r>
      <w:r w:rsidR="00113F5B" w:rsidRPr="00EB2DD9">
        <w:rPr>
          <w:i/>
          <w:sz w:val="22"/>
          <w:szCs w:val="22"/>
          <w:lang w:val="pt-BR"/>
        </w:rPr>
        <w:t>ë</w:t>
      </w:r>
      <w:r w:rsidR="0082365C" w:rsidRPr="00EB2DD9">
        <w:rPr>
          <w:i/>
          <w:sz w:val="22"/>
          <w:szCs w:val="22"/>
          <w:lang w:val="pt-BR"/>
        </w:rPr>
        <w:t xml:space="preserve"> zbatuar formati i SKK-2</w:t>
      </w:r>
      <w:r w:rsidR="00CD7191">
        <w:rPr>
          <w:i/>
          <w:sz w:val="22"/>
          <w:szCs w:val="22"/>
          <w:lang w:val="pt-BR"/>
        </w:rPr>
        <w:t>.</w:t>
      </w:r>
    </w:p>
    <w:p w:rsidR="00CD7191" w:rsidRPr="00EB2DD9" w:rsidRDefault="00CD7191" w:rsidP="001B6FCD">
      <w:pPr>
        <w:ind w:left="360"/>
        <w:jc w:val="both"/>
        <w:rPr>
          <w:sz w:val="22"/>
          <w:szCs w:val="22"/>
          <w:lang w:val="pt-BR"/>
        </w:rPr>
      </w:pPr>
    </w:p>
    <w:p w:rsidR="00BB0D7E" w:rsidRPr="00EB2DD9" w:rsidRDefault="00E207A3" w:rsidP="001B6FCD">
      <w:pPr>
        <w:ind w:firstLine="360"/>
        <w:jc w:val="both"/>
        <w:rPr>
          <w:b/>
          <w:i/>
          <w:sz w:val="22"/>
          <w:szCs w:val="22"/>
          <w:u w:val="single"/>
          <w:lang w:val="pt-BR"/>
        </w:rPr>
      </w:pPr>
      <w:r w:rsidRPr="00EB2DD9">
        <w:rPr>
          <w:b/>
          <w:i/>
          <w:sz w:val="22"/>
          <w:szCs w:val="22"/>
          <w:u w:val="single"/>
          <w:lang w:val="pt-BR"/>
        </w:rPr>
        <w:t>Nj</w:t>
      </w:r>
      <w:r w:rsidR="0022134D" w:rsidRPr="00EB2DD9">
        <w:rPr>
          <w:b/>
          <w:i/>
          <w:sz w:val="22"/>
          <w:szCs w:val="22"/>
          <w:u w:val="single"/>
          <w:lang w:val="pt-BR"/>
        </w:rPr>
        <w:t>ë</w:t>
      </w:r>
      <w:r w:rsidRPr="00EB2DD9">
        <w:rPr>
          <w:b/>
          <w:i/>
          <w:sz w:val="22"/>
          <w:szCs w:val="22"/>
          <w:u w:val="single"/>
          <w:lang w:val="pt-BR"/>
        </w:rPr>
        <w:t xml:space="preserve"> p</w:t>
      </w:r>
      <w:r w:rsidR="0022134D" w:rsidRPr="00EB2DD9">
        <w:rPr>
          <w:b/>
          <w:i/>
          <w:sz w:val="22"/>
          <w:szCs w:val="22"/>
          <w:u w:val="single"/>
          <w:lang w:val="pt-BR"/>
        </w:rPr>
        <w:t>ë</w:t>
      </w:r>
      <w:r w:rsidRPr="00EB2DD9">
        <w:rPr>
          <w:b/>
          <w:i/>
          <w:sz w:val="22"/>
          <w:szCs w:val="22"/>
          <w:u w:val="single"/>
          <w:lang w:val="pt-BR"/>
        </w:rPr>
        <w:t>rmbledhje e politikave kryesore kontab</w:t>
      </w:r>
      <w:r w:rsidR="0022134D" w:rsidRPr="00EB2DD9">
        <w:rPr>
          <w:b/>
          <w:i/>
          <w:sz w:val="22"/>
          <w:szCs w:val="22"/>
          <w:u w:val="single"/>
          <w:lang w:val="pt-BR"/>
        </w:rPr>
        <w:t>ë</w:t>
      </w:r>
      <w:r w:rsidR="00DB42EF">
        <w:rPr>
          <w:b/>
          <w:i/>
          <w:sz w:val="22"/>
          <w:szCs w:val="22"/>
          <w:u w:val="single"/>
          <w:lang w:val="pt-BR"/>
        </w:rPr>
        <w:t xml:space="preserve">l </w:t>
      </w:r>
      <w:r w:rsidRPr="00EB2DD9">
        <w:rPr>
          <w:b/>
          <w:i/>
          <w:sz w:val="22"/>
          <w:szCs w:val="22"/>
          <w:u w:val="single"/>
          <w:lang w:val="pt-BR"/>
        </w:rPr>
        <w:t xml:space="preserve"> </w:t>
      </w:r>
      <w:r w:rsidR="0022134D" w:rsidRPr="00EB2DD9">
        <w:rPr>
          <w:b/>
          <w:i/>
          <w:sz w:val="22"/>
          <w:szCs w:val="22"/>
          <w:u w:val="single"/>
          <w:lang w:val="pt-BR"/>
        </w:rPr>
        <w:t>ë</w:t>
      </w:r>
      <w:r w:rsidRPr="00EB2DD9">
        <w:rPr>
          <w:b/>
          <w:i/>
          <w:sz w:val="22"/>
          <w:szCs w:val="22"/>
          <w:u w:val="single"/>
          <w:lang w:val="pt-BR"/>
        </w:rPr>
        <w:t>sht</w:t>
      </w:r>
      <w:r w:rsidR="0022134D" w:rsidRPr="00EB2DD9">
        <w:rPr>
          <w:b/>
          <w:i/>
          <w:sz w:val="22"/>
          <w:szCs w:val="22"/>
          <w:u w:val="single"/>
          <w:lang w:val="pt-BR"/>
        </w:rPr>
        <w:t>ë</w:t>
      </w:r>
      <w:r w:rsidR="00DB42EF">
        <w:rPr>
          <w:b/>
          <w:i/>
          <w:sz w:val="22"/>
          <w:szCs w:val="22"/>
          <w:u w:val="single"/>
          <w:lang w:val="pt-BR"/>
        </w:rPr>
        <w:t xml:space="preserve"> </w:t>
      </w:r>
      <w:r w:rsidRPr="00EB2DD9">
        <w:rPr>
          <w:b/>
          <w:i/>
          <w:sz w:val="22"/>
          <w:szCs w:val="22"/>
          <w:u w:val="single"/>
          <w:lang w:val="pt-BR"/>
        </w:rPr>
        <w:t>paraqitur m</w:t>
      </w:r>
      <w:r w:rsidR="0022134D" w:rsidRPr="00EB2DD9">
        <w:rPr>
          <w:b/>
          <w:i/>
          <w:sz w:val="22"/>
          <w:szCs w:val="22"/>
          <w:u w:val="single"/>
          <w:lang w:val="pt-BR"/>
        </w:rPr>
        <w:t>ë</w:t>
      </w:r>
      <w:r w:rsidR="00DB42EF">
        <w:rPr>
          <w:b/>
          <w:i/>
          <w:sz w:val="22"/>
          <w:szCs w:val="22"/>
          <w:u w:val="single"/>
          <w:lang w:val="pt-BR"/>
        </w:rPr>
        <w:t xml:space="preserve"> </w:t>
      </w:r>
      <w:r w:rsidRPr="00EB2DD9">
        <w:rPr>
          <w:b/>
          <w:i/>
          <w:sz w:val="22"/>
          <w:szCs w:val="22"/>
          <w:u w:val="single"/>
          <w:lang w:val="pt-BR"/>
        </w:rPr>
        <w:t>posht</w:t>
      </w:r>
      <w:r w:rsidR="0022134D" w:rsidRPr="00EB2DD9">
        <w:rPr>
          <w:b/>
          <w:i/>
          <w:sz w:val="22"/>
          <w:szCs w:val="22"/>
          <w:u w:val="single"/>
          <w:lang w:val="pt-BR"/>
        </w:rPr>
        <w:t>ë</w:t>
      </w:r>
      <w:r w:rsidR="00BB0D7E" w:rsidRPr="00EB2DD9">
        <w:rPr>
          <w:b/>
          <w:i/>
          <w:sz w:val="22"/>
          <w:szCs w:val="22"/>
          <w:u w:val="single"/>
          <w:lang w:val="pt-BR"/>
        </w:rPr>
        <w:t>:</w:t>
      </w:r>
    </w:p>
    <w:p w:rsidR="00BB0D7E" w:rsidRPr="00EB2DD9" w:rsidRDefault="00BB0D7E" w:rsidP="001B6FCD">
      <w:pPr>
        <w:ind w:left="360"/>
        <w:jc w:val="both"/>
        <w:rPr>
          <w:b/>
          <w:i/>
          <w:sz w:val="22"/>
          <w:szCs w:val="22"/>
          <w:u w:val="single"/>
          <w:lang w:val="pt-BR"/>
        </w:rPr>
      </w:pPr>
    </w:p>
    <w:p w:rsidR="00BB0D7E" w:rsidRDefault="00BB0D7E" w:rsidP="001B6FCD">
      <w:pPr>
        <w:ind w:left="360"/>
        <w:jc w:val="both"/>
        <w:rPr>
          <w:b/>
          <w:sz w:val="22"/>
          <w:szCs w:val="22"/>
          <w:lang w:val="pt-BR"/>
        </w:rPr>
      </w:pPr>
      <w:r w:rsidRPr="00EB2DD9">
        <w:rPr>
          <w:b/>
          <w:sz w:val="22"/>
          <w:szCs w:val="22"/>
          <w:lang w:val="pt-BR"/>
        </w:rPr>
        <w:t>Njohja e t</w:t>
      </w:r>
      <w:r w:rsidR="0022134D" w:rsidRPr="00EB2DD9">
        <w:rPr>
          <w:b/>
          <w:sz w:val="22"/>
          <w:szCs w:val="22"/>
          <w:lang w:val="pt-BR"/>
        </w:rPr>
        <w:t>ë</w:t>
      </w:r>
      <w:r w:rsidRPr="00EB2DD9">
        <w:rPr>
          <w:b/>
          <w:sz w:val="22"/>
          <w:szCs w:val="22"/>
          <w:lang w:val="pt-BR"/>
        </w:rPr>
        <w:t xml:space="preserve"> ardhurave dhe shpenzimeve</w:t>
      </w:r>
    </w:p>
    <w:p w:rsidR="00DF4B6D" w:rsidRPr="00EB2DD9" w:rsidRDefault="00DF4B6D" w:rsidP="00C56823">
      <w:pPr>
        <w:jc w:val="both"/>
        <w:rPr>
          <w:sz w:val="22"/>
          <w:szCs w:val="22"/>
          <w:lang w:val="pt-BR"/>
        </w:rPr>
      </w:pPr>
    </w:p>
    <w:p w:rsidR="00693804" w:rsidRDefault="00DF4B6D" w:rsidP="00C56823">
      <w:pPr>
        <w:widowControl w:val="0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>Të ardhurat dhe shpenzimet njihen sipas kontabilitetit të të</w:t>
      </w:r>
      <w:r w:rsidR="009D7D69" w:rsidRPr="00EB2DD9">
        <w:rPr>
          <w:sz w:val="22"/>
          <w:szCs w:val="22"/>
          <w:lang w:val="pt-BR"/>
        </w:rPr>
        <w:t xml:space="preserve"> </w:t>
      </w:r>
      <w:r w:rsidRPr="00EB2DD9">
        <w:rPr>
          <w:sz w:val="22"/>
          <w:szCs w:val="22"/>
          <w:lang w:val="pt-BR"/>
        </w:rPr>
        <w:t>drejtave të konstatuara.</w:t>
      </w:r>
      <w:r w:rsidR="009D7D69" w:rsidRPr="00EB2DD9">
        <w:rPr>
          <w:sz w:val="22"/>
          <w:szCs w:val="22"/>
          <w:lang w:val="pt-BR"/>
        </w:rPr>
        <w:t>Të ardhurat nga shitja e mallrave</w:t>
      </w:r>
      <w:r w:rsidR="00296075" w:rsidRPr="00EB2DD9">
        <w:rPr>
          <w:sz w:val="22"/>
          <w:szCs w:val="22"/>
          <w:lang w:val="pt-BR"/>
        </w:rPr>
        <w:t xml:space="preserve"> dhe produkteve</w:t>
      </w:r>
      <w:r w:rsidR="009D7D69" w:rsidRPr="00EB2DD9">
        <w:rPr>
          <w:sz w:val="22"/>
          <w:szCs w:val="22"/>
          <w:lang w:val="pt-BR"/>
        </w:rPr>
        <w:t xml:space="preserve">  njihen kur i janë kaluar blerësit të gjitha rreziqet dhe përfitimet, maten me besueshmëri dhe ka </w:t>
      </w:r>
      <w:r w:rsidR="00D359CC" w:rsidRPr="00EB2DD9">
        <w:rPr>
          <w:sz w:val="22"/>
          <w:szCs w:val="22"/>
          <w:lang w:val="pt-BR"/>
        </w:rPr>
        <w:t xml:space="preserve"> </w:t>
      </w:r>
      <w:r w:rsidR="009D7D69" w:rsidRPr="00EB2DD9">
        <w:rPr>
          <w:sz w:val="22"/>
          <w:szCs w:val="22"/>
          <w:lang w:val="pt-BR"/>
        </w:rPr>
        <w:t>siguri te mjaftu</w:t>
      </w:r>
      <w:r w:rsidR="005C3881">
        <w:rPr>
          <w:sz w:val="22"/>
          <w:szCs w:val="22"/>
          <w:lang w:val="pt-BR"/>
        </w:rPr>
        <w:t>e</w:t>
      </w:r>
      <w:r w:rsidR="009D7D69" w:rsidRPr="00EB2DD9">
        <w:rPr>
          <w:sz w:val="22"/>
          <w:szCs w:val="22"/>
          <w:lang w:val="pt-BR"/>
        </w:rPr>
        <w:t>shme ne marrjen e perfitimeve.</w:t>
      </w:r>
      <w:r w:rsidR="00DB5369" w:rsidRPr="00E462A4">
        <w:rPr>
          <w:b/>
          <w:sz w:val="22"/>
          <w:szCs w:val="22"/>
          <w:lang w:val="pt-BR"/>
        </w:rPr>
        <w:t>Të ardhurat nga kryerja e shërbimeve</w:t>
      </w:r>
      <w:r w:rsidR="00DB5369" w:rsidRPr="00EB2DD9">
        <w:rPr>
          <w:sz w:val="22"/>
          <w:szCs w:val="22"/>
          <w:lang w:val="pt-BR"/>
        </w:rPr>
        <w:t xml:space="preserve"> njihen në varësi të fazës, në të cilën ndodhet  kryerja e shërbimit në datën e bilancit</w:t>
      </w:r>
      <w:r w:rsidR="00D359CC" w:rsidRPr="00EB2DD9">
        <w:rPr>
          <w:sz w:val="22"/>
          <w:szCs w:val="22"/>
          <w:lang w:val="pt-BR"/>
        </w:rPr>
        <w:t xml:space="preserve"> dhe</w:t>
      </w:r>
      <w:r w:rsidR="001B6FCD">
        <w:rPr>
          <w:sz w:val="22"/>
          <w:szCs w:val="22"/>
          <w:lang w:val="pt-BR"/>
        </w:rPr>
        <w:t xml:space="preserve"> t</w:t>
      </w:r>
      <w:r w:rsidR="005C3881" w:rsidRPr="001B6FCD">
        <w:rPr>
          <w:sz w:val="22"/>
          <w:szCs w:val="22"/>
          <w:lang w:val="pt-BR"/>
        </w:rPr>
        <w:t xml:space="preserve">e </w:t>
      </w:r>
      <w:r w:rsidR="00DB5369" w:rsidRPr="00EB2DD9">
        <w:rPr>
          <w:sz w:val="22"/>
          <w:szCs w:val="22"/>
          <w:lang w:val="pt-BR"/>
        </w:rPr>
        <w:t>ardhurat dhe shp</w:t>
      </w:r>
      <w:r w:rsidR="00D359CC" w:rsidRPr="00EB2DD9">
        <w:rPr>
          <w:sz w:val="22"/>
          <w:szCs w:val="22"/>
          <w:lang w:val="pt-BR"/>
        </w:rPr>
        <w:t xml:space="preserve">enzimet që lidhen me shërbimin </w:t>
      </w:r>
      <w:r w:rsidR="00DB5369" w:rsidRPr="00EB2DD9">
        <w:rPr>
          <w:sz w:val="22"/>
          <w:szCs w:val="22"/>
          <w:lang w:val="pt-BR"/>
        </w:rPr>
        <w:t>mund të përllogaritet me besueshmëri.</w:t>
      </w:r>
      <w:r w:rsidR="00463805" w:rsidRPr="00EB2DD9">
        <w:rPr>
          <w:sz w:val="22"/>
          <w:szCs w:val="22"/>
          <w:lang w:val="pt-BR"/>
        </w:rPr>
        <w:t>Të ardhurat vlerësohen me vlerën e drejtë të</w:t>
      </w:r>
      <w:r w:rsidR="009D7D69" w:rsidRPr="00EB2DD9">
        <w:rPr>
          <w:sz w:val="22"/>
          <w:szCs w:val="22"/>
          <w:lang w:val="pt-BR"/>
        </w:rPr>
        <w:t xml:space="preserve"> </w:t>
      </w:r>
      <w:r w:rsidR="00463805" w:rsidRPr="00EB2DD9">
        <w:rPr>
          <w:sz w:val="22"/>
          <w:szCs w:val="22"/>
          <w:lang w:val="pt-BR"/>
        </w:rPr>
        <w:t xml:space="preserve">shumës së arkëtuar ose të </w:t>
      </w:r>
      <w:r w:rsidR="00463805" w:rsidRPr="00E462A4">
        <w:rPr>
          <w:b/>
          <w:sz w:val="22"/>
          <w:szCs w:val="22"/>
          <w:lang w:val="pt-BR"/>
        </w:rPr>
        <w:t>arkëtueshme,</w:t>
      </w:r>
      <w:r w:rsidR="00463805" w:rsidRPr="00EB2DD9">
        <w:rPr>
          <w:sz w:val="22"/>
          <w:szCs w:val="22"/>
          <w:lang w:val="pt-BR"/>
        </w:rPr>
        <w:t xml:space="preserve"> duke marrë parasysh</w:t>
      </w:r>
      <w:r w:rsidRPr="00EB2DD9">
        <w:rPr>
          <w:sz w:val="22"/>
          <w:szCs w:val="22"/>
          <w:lang w:val="pt-BR"/>
        </w:rPr>
        <w:t xml:space="preserve"> </w:t>
      </w:r>
      <w:r w:rsidR="00463805" w:rsidRPr="00EB2DD9">
        <w:rPr>
          <w:sz w:val="22"/>
          <w:szCs w:val="22"/>
          <w:lang w:val="pt-BR"/>
        </w:rPr>
        <w:t>shumën e skontimeve ose rabatet e ofruara</w:t>
      </w:r>
      <w:r w:rsidR="009D7D69" w:rsidRPr="00EB2DD9">
        <w:rPr>
          <w:sz w:val="22"/>
          <w:szCs w:val="22"/>
          <w:lang w:val="pt-BR"/>
        </w:rPr>
        <w:t xml:space="preserve">. </w:t>
      </w:r>
    </w:p>
    <w:p w:rsidR="00A87AB7" w:rsidRDefault="00A87AB7" w:rsidP="00C56823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A87AB7" w:rsidRDefault="00A87AB7" w:rsidP="00C56823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E462A4" w:rsidRDefault="00E462A4" w:rsidP="00C56823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C56823" w:rsidRPr="006F3B3C" w:rsidRDefault="00C56823" w:rsidP="00C56823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lastRenderedPageBreak/>
        <w:t>S</w:t>
      </w:r>
      <w:r>
        <w:rPr>
          <w:rFonts w:ascii="Century Gothic" w:hAnsi="Century Gothic"/>
          <w:b/>
          <w:bCs/>
          <w:sz w:val="22"/>
          <w:szCs w:val="22"/>
          <w:lang w:val="nl-NL"/>
        </w:rPr>
        <w:t xml:space="preserve">HENIME PER PASQYRAT FINANCIARE </w:t>
      </w:r>
    </w:p>
    <w:p w:rsidR="00C56823" w:rsidRPr="00B1225B" w:rsidRDefault="00C56823" w:rsidP="00C56823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>vitet ushtrimor te mbyllur më</w:t>
      </w:r>
      <w:r w:rsidR="007916C8">
        <w:rPr>
          <w:rFonts w:ascii="Century Gothic" w:hAnsi="Century Gothic"/>
          <w:b/>
          <w:bCs/>
          <w:sz w:val="22"/>
          <w:szCs w:val="22"/>
          <w:lang w:val="pt-BR"/>
        </w:rPr>
        <w:t xml:space="preserve"> 31 Dhjetor 201</w:t>
      </w:r>
      <w:r w:rsidR="00A04D33">
        <w:rPr>
          <w:rFonts w:ascii="Century Gothic" w:hAnsi="Century Gothic"/>
          <w:b/>
          <w:bCs/>
          <w:sz w:val="22"/>
          <w:szCs w:val="22"/>
          <w:lang w:val="pt-BR"/>
        </w:rPr>
        <w:t xml:space="preserve">2 </w:t>
      </w:r>
      <w:r w:rsidR="007916C8">
        <w:rPr>
          <w:rFonts w:ascii="Century Gothic" w:hAnsi="Century Gothic"/>
          <w:b/>
          <w:bCs/>
          <w:sz w:val="22"/>
          <w:szCs w:val="22"/>
          <w:lang w:val="pt-BR"/>
        </w:rPr>
        <w:t>dhe 20</w:t>
      </w:r>
      <w:r w:rsidR="00A04D33">
        <w:rPr>
          <w:rFonts w:ascii="Century Gothic" w:hAnsi="Century Gothic"/>
          <w:b/>
          <w:bCs/>
          <w:sz w:val="22"/>
          <w:szCs w:val="22"/>
          <w:lang w:val="pt-BR"/>
        </w:rPr>
        <w:t>11</w:t>
      </w:r>
    </w:p>
    <w:p w:rsidR="00C56823" w:rsidRPr="006F3B3C" w:rsidRDefault="00C56823" w:rsidP="00C56823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pt-BR"/>
        </w:rPr>
      </w:pPr>
      <w:r w:rsidRPr="006F3B3C">
        <w:rPr>
          <w:rFonts w:ascii="Century Gothic" w:hAnsi="Century Gothic"/>
          <w:b/>
          <w:bCs/>
          <w:sz w:val="18"/>
          <w:szCs w:val="18"/>
          <w:lang w:val="pt-BR"/>
        </w:rPr>
        <w:t>(Të gjitha balancat janë në lekë</w:t>
      </w:r>
      <w:r>
        <w:rPr>
          <w:rFonts w:ascii="Century Gothic" w:hAnsi="Century Gothic"/>
          <w:b/>
          <w:bCs/>
          <w:sz w:val="18"/>
          <w:szCs w:val="18"/>
          <w:lang w:val="pt-BR"/>
        </w:rPr>
        <w:t>).</w:t>
      </w:r>
    </w:p>
    <w:p w:rsidR="00C56823" w:rsidRDefault="00C56823" w:rsidP="001B6FCD">
      <w:pPr>
        <w:widowControl w:val="0"/>
        <w:ind w:left="374" w:hanging="14"/>
        <w:jc w:val="both"/>
        <w:rPr>
          <w:sz w:val="22"/>
          <w:szCs w:val="22"/>
          <w:lang w:val="pt-BR"/>
        </w:rPr>
      </w:pPr>
    </w:p>
    <w:p w:rsidR="00DB5369" w:rsidRPr="00EB2DD9" w:rsidRDefault="009D7D69" w:rsidP="001B6FCD">
      <w:pPr>
        <w:widowControl w:val="0"/>
        <w:ind w:left="374" w:hanging="14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>Shpenzimet njihen at</w:t>
      </w:r>
      <w:r w:rsidR="006F40D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her</w:t>
      </w:r>
      <w:r w:rsidR="006F40D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kur ato sigurohen prej t</w:t>
      </w:r>
      <w:r w:rsidR="006F40DB" w:rsidRPr="00EB2DD9">
        <w:rPr>
          <w:sz w:val="22"/>
          <w:szCs w:val="22"/>
          <w:lang w:val="pt-BR"/>
        </w:rPr>
        <w:t xml:space="preserve">ë </w:t>
      </w:r>
      <w:r w:rsidRPr="00EB2DD9">
        <w:rPr>
          <w:sz w:val="22"/>
          <w:szCs w:val="22"/>
          <w:lang w:val="pt-BR"/>
        </w:rPr>
        <w:t>tret</w:t>
      </w:r>
      <w:r w:rsidR="006F40D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ve dhe n</w:t>
      </w:r>
      <w:r w:rsidR="006F40D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t</w:t>
      </w:r>
      <w:r w:rsidR="006F40D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nj</w:t>
      </w:r>
      <w:r w:rsidR="006F40D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jtin ushtrim  kontab</w:t>
      </w:r>
      <w:r w:rsidR="006F40D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l me t</w:t>
      </w:r>
      <w:r w:rsidR="006F40DB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ardhurat e lidhura.</w:t>
      </w:r>
    </w:p>
    <w:p w:rsidR="00DB5369" w:rsidRPr="00EB2DD9" w:rsidRDefault="00DB5369" w:rsidP="001B6FCD">
      <w:pPr>
        <w:autoSpaceDE w:val="0"/>
        <w:autoSpaceDN w:val="0"/>
        <w:adjustRightInd w:val="0"/>
        <w:jc w:val="both"/>
        <w:rPr>
          <w:color w:val="008100"/>
          <w:sz w:val="26"/>
          <w:szCs w:val="26"/>
          <w:lang w:val="pt-BR"/>
        </w:rPr>
      </w:pPr>
    </w:p>
    <w:p w:rsidR="00BB0D7E" w:rsidRPr="00EB2DD9" w:rsidRDefault="00BB0D7E" w:rsidP="001B6FCD">
      <w:pPr>
        <w:ind w:left="360"/>
        <w:jc w:val="both"/>
        <w:rPr>
          <w:b/>
          <w:sz w:val="22"/>
          <w:szCs w:val="22"/>
          <w:lang w:val="pt-BR"/>
        </w:rPr>
      </w:pPr>
      <w:r w:rsidRPr="00EB2DD9">
        <w:rPr>
          <w:b/>
          <w:sz w:val="22"/>
          <w:szCs w:val="22"/>
          <w:lang w:val="pt-BR"/>
        </w:rPr>
        <w:t xml:space="preserve">Monedhat e huaja </w:t>
      </w:r>
    </w:p>
    <w:p w:rsidR="00BB0D7E" w:rsidRPr="00EB2DD9" w:rsidRDefault="00BB0D7E" w:rsidP="001B6FCD">
      <w:pPr>
        <w:ind w:left="360"/>
        <w:jc w:val="both"/>
        <w:rPr>
          <w:b/>
          <w:sz w:val="22"/>
          <w:szCs w:val="22"/>
          <w:lang w:val="pt-BR"/>
        </w:rPr>
      </w:pPr>
    </w:p>
    <w:p w:rsidR="00AA692E" w:rsidRPr="00EB2DD9" w:rsidRDefault="00AA692E" w:rsidP="001B6FCD">
      <w:pPr>
        <w:autoSpaceDE w:val="0"/>
        <w:autoSpaceDN w:val="0"/>
        <w:adjustRightInd w:val="0"/>
        <w:ind w:left="374" w:hanging="14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Transaksionet në monedhë të huaj konvertohen në lekë, me kursin zyrtar të këmbimit të Bankës në datën e kryerjes së transaksionit. Në çdo datë bilanci,</w:t>
      </w:r>
      <w:r w:rsidR="00591148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zërat monetarë të</w:t>
      </w:r>
      <w:r w:rsidR="00EC49A1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bilancit të shprehur në monedhë të huaj rivlerësohen me kursin</w:t>
      </w:r>
      <w:r w:rsidR="00EC49A1" w:rsidRPr="00EB2DD9">
        <w:rPr>
          <w:sz w:val="22"/>
          <w:szCs w:val="22"/>
        </w:rPr>
        <w:t xml:space="preserve"> </w:t>
      </w:r>
      <w:r w:rsidR="00591148" w:rsidRPr="00EB2DD9">
        <w:rPr>
          <w:sz w:val="22"/>
          <w:szCs w:val="22"/>
        </w:rPr>
        <w:t>zyrtar të këmbimit</w:t>
      </w:r>
      <w:r w:rsidRPr="00EB2DD9">
        <w:rPr>
          <w:sz w:val="22"/>
          <w:szCs w:val="22"/>
        </w:rPr>
        <w:t xml:space="preserve"> në datën e bilancit. Zërat jomonetarë, të shprehur</w:t>
      </w:r>
      <w:r w:rsidR="00EC49A1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në monedhë të huaj, maten në termat e kostos historike dhe nuk rivlerësohen.</w:t>
      </w:r>
      <w:r w:rsidR="00EC49A1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Fitimi ose humbja e pa realizuar nga ndryshimi i kurseve të këmbimit</w:t>
      </w:r>
      <w:r w:rsidR="00EC49A1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njihet në pasqyrën e të ardhurave dhe shpenzimeve</w:t>
      </w:r>
      <w:r w:rsidR="00EC49A1" w:rsidRPr="00EB2DD9">
        <w:rPr>
          <w:sz w:val="22"/>
          <w:szCs w:val="22"/>
        </w:rPr>
        <w:t>.</w:t>
      </w:r>
    </w:p>
    <w:p w:rsidR="00A573E6" w:rsidRPr="00EB2DD9" w:rsidRDefault="00AA692E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 xml:space="preserve">Kurset </w:t>
      </w:r>
      <w:r w:rsidR="004B78D4" w:rsidRPr="00EB2DD9">
        <w:rPr>
          <w:sz w:val="22"/>
          <w:szCs w:val="22"/>
        </w:rPr>
        <w:t>e</w:t>
      </w:r>
      <w:r w:rsidRPr="00EB2DD9">
        <w:rPr>
          <w:sz w:val="22"/>
          <w:szCs w:val="22"/>
        </w:rPr>
        <w:t xml:space="preserve"> këmbimit, të përdorura nga </w:t>
      </w:r>
      <w:r w:rsidR="00EC49A1" w:rsidRPr="00EB2DD9">
        <w:rPr>
          <w:sz w:val="22"/>
          <w:szCs w:val="22"/>
        </w:rPr>
        <w:t xml:space="preserve">shoqeria </w:t>
      </w:r>
      <w:r w:rsidRPr="00EB2DD9">
        <w:rPr>
          <w:sz w:val="22"/>
          <w:szCs w:val="22"/>
        </w:rPr>
        <w:t>për monedhat e huaja më kryesore, më</w:t>
      </w:r>
      <w:r w:rsidR="00EC49A1" w:rsidRPr="00EB2DD9">
        <w:rPr>
          <w:sz w:val="22"/>
          <w:szCs w:val="22"/>
        </w:rPr>
        <w:t xml:space="preserve"> </w:t>
      </w:r>
      <w:r w:rsidR="007916C8">
        <w:rPr>
          <w:sz w:val="22"/>
          <w:szCs w:val="22"/>
        </w:rPr>
        <w:t>31.12.201</w:t>
      </w:r>
      <w:r w:rsidR="00A04D33">
        <w:rPr>
          <w:sz w:val="22"/>
          <w:szCs w:val="22"/>
        </w:rPr>
        <w:t>2</w:t>
      </w:r>
      <w:r w:rsidR="007004CC" w:rsidRPr="00EB2DD9">
        <w:rPr>
          <w:sz w:val="22"/>
          <w:szCs w:val="22"/>
        </w:rPr>
        <w:t xml:space="preserve"> jan</w:t>
      </w:r>
      <w:r w:rsidR="005D12E7" w:rsidRPr="00EB2DD9">
        <w:rPr>
          <w:sz w:val="22"/>
          <w:szCs w:val="22"/>
        </w:rPr>
        <w:t>ë</w:t>
      </w:r>
      <w:r w:rsidR="00EC49A1" w:rsidRPr="00EB2DD9">
        <w:rPr>
          <w:sz w:val="22"/>
          <w:szCs w:val="22"/>
        </w:rPr>
        <w:t xml:space="preserve"> </w:t>
      </w:r>
      <w:r w:rsidR="00A573E6" w:rsidRPr="00EB2DD9">
        <w:rPr>
          <w:sz w:val="22"/>
          <w:szCs w:val="22"/>
        </w:rPr>
        <w:t>:</w:t>
      </w:r>
    </w:p>
    <w:p w:rsidR="00A573E6" w:rsidRPr="00EB2DD9" w:rsidRDefault="00A573E6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pt-BR"/>
        </w:rPr>
      </w:pPr>
    </w:p>
    <w:p w:rsidR="00A573E6" w:rsidRPr="00EB2DD9" w:rsidRDefault="00A573E6" w:rsidP="003E3CD2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>EURO :</w:t>
      </w:r>
      <w:r w:rsidR="004A4BB6">
        <w:rPr>
          <w:sz w:val="22"/>
          <w:szCs w:val="22"/>
          <w:lang w:val="pt-BR"/>
        </w:rPr>
        <w:tab/>
      </w:r>
      <w:r w:rsidR="00F204F0">
        <w:rPr>
          <w:sz w:val="22"/>
          <w:szCs w:val="22"/>
          <w:lang w:val="pt-BR"/>
        </w:rPr>
        <w:t>139.59</w:t>
      </w:r>
      <w:r w:rsidR="00591148" w:rsidRPr="00EB2DD9">
        <w:rPr>
          <w:sz w:val="22"/>
          <w:szCs w:val="22"/>
          <w:lang w:val="pt-BR"/>
        </w:rPr>
        <w:tab/>
      </w:r>
      <w:r w:rsidRPr="00EB2DD9">
        <w:rPr>
          <w:sz w:val="22"/>
          <w:szCs w:val="22"/>
          <w:lang w:val="pt-BR"/>
        </w:rPr>
        <w:t xml:space="preserve"> LEK </w:t>
      </w:r>
      <w:r w:rsidR="0002177A">
        <w:rPr>
          <w:sz w:val="22"/>
          <w:szCs w:val="22"/>
          <w:lang w:val="pt-BR"/>
        </w:rPr>
        <w:t>(Sipas kursit te Bankes se Shqiperise</w:t>
      </w:r>
      <w:r w:rsidR="003E3CD2">
        <w:rPr>
          <w:sz w:val="22"/>
          <w:szCs w:val="22"/>
          <w:lang w:val="pt-BR"/>
        </w:rPr>
        <w:t xml:space="preserve"> 31.12.2012</w:t>
      </w:r>
      <w:r w:rsidR="0002177A">
        <w:rPr>
          <w:sz w:val="22"/>
          <w:szCs w:val="22"/>
          <w:lang w:val="pt-BR"/>
        </w:rPr>
        <w:t>)</w:t>
      </w:r>
    </w:p>
    <w:p w:rsidR="00AA692E" w:rsidRPr="00EB2DD9" w:rsidRDefault="00A573E6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>USD :</w:t>
      </w:r>
      <w:r w:rsidR="009F5576">
        <w:rPr>
          <w:sz w:val="22"/>
          <w:szCs w:val="22"/>
          <w:lang w:val="pt-BR"/>
        </w:rPr>
        <w:t xml:space="preserve"> </w:t>
      </w:r>
      <w:r w:rsidR="009F5576">
        <w:rPr>
          <w:sz w:val="22"/>
          <w:szCs w:val="22"/>
          <w:lang w:val="pt-BR"/>
        </w:rPr>
        <w:tab/>
      </w:r>
      <w:r w:rsidR="00F204F0">
        <w:rPr>
          <w:sz w:val="22"/>
          <w:szCs w:val="22"/>
          <w:lang w:val="pt-BR"/>
        </w:rPr>
        <w:t xml:space="preserve">Nuk kemi transf me kete monedhe </w:t>
      </w:r>
    </w:p>
    <w:p w:rsidR="00AA692E" w:rsidRDefault="00AA692E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pt-BR"/>
        </w:rPr>
      </w:pPr>
    </w:p>
    <w:p w:rsidR="005C3881" w:rsidRPr="00EB2DD9" w:rsidRDefault="005C3881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pt-BR"/>
        </w:rPr>
      </w:pPr>
    </w:p>
    <w:p w:rsidR="00A573E6" w:rsidRPr="00EB2DD9" w:rsidRDefault="00A573E6" w:rsidP="001B6FCD">
      <w:pPr>
        <w:ind w:left="360"/>
        <w:jc w:val="both"/>
        <w:rPr>
          <w:b/>
          <w:sz w:val="22"/>
          <w:szCs w:val="22"/>
          <w:lang w:val="pt-BR"/>
        </w:rPr>
      </w:pPr>
      <w:r w:rsidRPr="00EB2DD9">
        <w:rPr>
          <w:b/>
          <w:sz w:val="22"/>
          <w:szCs w:val="22"/>
          <w:lang w:val="pt-BR"/>
        </w:rPr>
        <w:t xml:space="preserve">Kostot e huamarrjes </w:t>
      </w:r>
    </w:p>
    <w:p w:rsidR="00A573E6" w:rsidRPr="00EB2DD9" w:rsidRDefault="00A573E6" w:rsidP="001B6FCD">
      <w:pPr>
        <w:ind w:left="360"/>
        <w:jc w:val="both"/>
        <w:rPr>
          <w:sz w:val="22"/>
          <w:szCs w:val="22"/>
          <w:lang w:val="pt-BR"/>
        </w:rPr>
      </w:pPr>
    </w:p>
    <w:p w:rsidR="00A573E6" w:rsidRPr="00EB2DD9" w:rsidRDefault="00A573E6" w:rsidP="001B6FCD">
      <w:pPr>
        <w:ind w:left="360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>Kost</w:t>
      </w:r>
      <w:r w:rsidR="007004CC" w:rsidRPr="00EB2DD9">
        <w:rPr>
          <w:sz w:val="22"/>
          <w:szCs w:val="22"/>
          <w:lang w:val="pt-BR"/>
        </w:rPr>
        <w:t>ot e huamarrjes p</w:t>
      </w:r>
      <w:r w:rsidR="005D12E7" w:rsidRPr="00EB2DD9">
        <w:rPr>
          <w:sz w:val="22"/>
          <w:szCs w:val="22"/>
          <w:lang w:val="pt-BR"/>
        </w:rPr>
        <w:t>ë</w:t>
      </w:r>
      <w:r w:rsidR="007004CC" w:rsidRPr="00EB2DD9">
        <w:rPr>
          <w:sz w:val="22"/>
          <w:szCs w:val="22"/>
          <w:lang w:val="pt-BR"/>
        </w:rPr>
        <w:t>rfshijn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</w:t>
      </w:r>
      <w:r w:rsidR="008D5709" w:rsidRPr="00EB2DD9">
        <w:rPr>
          <w:sz w:val="22"/>
          <w:szCs w:val="22"/>
          <w:lang w:val="pt-BR"/>
        </w:rPr>
        <w:t>interesin e paradh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>nie</w:t>
      </w:r>
      <w:r w:rsidR="003E134E" w:rsidRPr="00EB2DD9">
        <w:rPr>
          <w:sz w:val="22"/>
          <w:szCs w:val="22"/>
          <w:lang w:val="pt-BR"/>
        </w:rPr>
        <w:t>ve bankare dhe huave afatshkurt</w:t>
      </w:r>
      <w:r w:rsidR="008D5709" w:rsidRPr="00EB2DD9">
        <w:rPr>
          <w:sz w:val="22"/>
          <w:szCs w:val="22"/>
          <w:lang w:val="pt-BR"/>
        </w:rPr>
        <w:t xml:space="preserve">ra dhe afatgjata. Kostot e </w:t>
      </w:r>
      <w:r w:rsidR="007004CC" w:rsidRPr="00EB2DD9">
        <w:rPr>
          <w:sz w:val="22"/>
          <w:szCs w:val="22"/>
          <w:lang w:val="pt-BR"/>
        </w:rPr>
        <w:t>huamarrjes njihen si shpenzim n</w:t>
      </w:r>
      <w:r w:rsidR="005D12E7" w:rsidRPr="00EB2DD9">
        <w:rPr>
          <w:sz w:val="22"/>
          <w:szCs w:val="22"/>
          <w:lang w:val="pt-BR"/>
        </w:rPr>
        <w:t>ë</w:t>
      </w:r>
      <w:r w:rsidR="007004CC" w:rsidRPr="00EB2DD9">
        <w:rPr>
          <w:sz w:val="22"/>
          <w:szCs w:val="22"/>
          <w:lang w:val="pt-BR"/>
        </w:rPr>
        <w:t xml:space="preserve"> periudh</w:t>
      </w:r>
      <w:r w:rsidR="005D12E7" w:rsidRPr="00EB2DD9">
        <w:rPr>
          <w:sz w:val="22"/>
          <w:szCs w:val="22"/>
          <w:lang w:val="pt-BR"/>
        </w:rPr>
        <w:t>ë</w:t>
      </w:r>
      <w:r w:rsidR="007004CC" w:rsidRPr="00EB2DD9">
        <w:rPr>
          <w:sz w:val="22"/>
          <w:szCs w:val="22"/>
          <w:lang w:val="pt-BR"/>
        </w:rPr>
        <w:t>n q</w:t>
      </w:r>
      <w:r w:rsidR="005D12E7" w:rsidRPr="00EB2DD9">
        <w:rPr>
          <w:sz w:val="22"/>
          <w:szCs w:val="22"/>
          <w:lang w:val="pt-BR"/>
        </w:rPr>
        <w:t>ë</w:t>
      </w:r>
      <w:r w:rsidR="007004CC" w:rsidRPr="00EB2DD9">
        <w:rPr>
          <w:sz w:val="22"/>
          <w:szCs w:val="22"/>
          <w:lang w:val="pt-BR"/>
        </w:rPr>
        <w:t xml:space="preserve"> ato jan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shkaktuar pavar</w:t>
      </w:r>
      <w:r w:rsidR="005D12E7" w:rsidRPr="00EB2DD9">
        <w:rPr>
          <w:sz w:val="22"/>
          <w:szCs w:val="22"/>
          <w:lang w:val="pt-BR"/>
        </w:rPr>
        <w:t>ë</w:t>
      </w:r>
      <w:r w:rsidR="007004CC" w:rsidRPr="00EB2DD9">
        <w:rPr>
          <w:sz w:val="22"/>
          <w:szCs w:val="22"/>
          <w:lang w:val="pt-BR"/>
        </w:rPr>
        <w:t>sisht se si huat</w:t>
      </w:r>
      <w:r w:rsidR="005D12E7" w:rsidRPr="00EB2DD9">
        <w:rPr>
          <w:sz w:val="22"/>
          <w:szCs w:val="22"/>
          <w:lang w:val="pt-BR"/>
        </w:rPr>
        <w:t>ë</w:t>
      </w:r>
      <w:r w:rsidR="003E134E" w:rsidRPr="00EB2DD9">
        <w:rPr>
          <w:sz w:val="22"/>
          <w:szCs w:val="22"/>
          <w:lang w:val="pt-BR"/>
        </w:rPr>
        <w:t xml:space="preserve"> jane aplikuar</w:t>
      </w:r>
      <w:r w:rsidR="008D5709" w:rsidRPr="00EB2DD9">
        <w:rPr>
          <w:sz w:val="22"/>
          <w:szCs w:val="22"/>
          <w:lang w:val="pt-BR"/>
        </w:rPr>
        <w:t>.</w:t>
      </w:r>
    </w:p>
    <w:p w:rsidR="008D5709" w:rsidRPr="00EB2DD9" w:rsidRDefault="008D5709" w:rsidP="001B6FCD">
      <w:pPr>
        <w:ind w:left="360"/>
        <w:jc w:val="both"/>
        <w:rPr>
          <w:sz w:val="22"/>
          <w:szCs w:val="22"/>
          <w:lang w:val="pt-BR"/>
        </w:rPr>
      </w:pPr>
    </w:p>
    <w:p w:rsidR="00BB0D7E" w:rsidRPr="00EB2DD9" w:rsidRDefault="00BB0D7E" w:rsidP="001B6FCD">
      <w:pPr>
        <w:ind w:left="360"/>
        <w:jc w:val="both"/>
        <w:rPr>
          <w:b/>
          <w:sz w:val="22"/>
          <w:szCs w:val="22"/>
          <w:lang w:val="pt-BR"/>
        </w:rPr>
      </w:pPr>
      <w:r w:rsidRPr="00EB2DD9">
        <w:rPr>
          <w:b/>
          <w:sz w:val="22"/>
          <w:szCs w:val="22"/>
          <w:lang w:val="pt-BR"/>
        </w:rPr>
        <w:t>Tatimin mbi fitimin</w:t>
      </w:r>
    </w:p>
    <w:p w:rsidR="00460F65" w:rsidRPr="00EB2DD9" w:rsidRDefault="00460F65" w:rsidP="001B6FCD">
      <w:pPr>
        <w:ind w:left="360"/>
        <w:jc w:val="both"/>
        <w:rPr>
          <w:b/>
          <w:sz w:val="22"/>
          <w:szCs w:val="22"/>
          <w:lang w:val="pt-BR"/>
        </w:rPr>
      </w:pPr>
    </w:p>
    <w:p w:rsidR="00812FF3" w:rsidRDefault="00627323" w:rsidP="001B6FCD">
      <w:pPr>
        <w:ind w:left="360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>Shpenzimi p</w:t>
      </w:r>
      <w:r w:rsidR="005D12E7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>r tatimin mbi fitimin p</w:t>
      </w:r>
      <w:r w:rsidR="005D12E7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>rfaq</w:t>
      </w:r>
      <w:r w:rsidR="005D12E7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>son shum</w:t>
      </w:r>
      <w:r w:rsidR="005D12E7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>n e tatimit p</w:t>
      </w:r>
      <w:r w:rsidR="005D12E7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>r t</w:t>
      </w:r>
      <w:r w:rsidRPr="00EB2DD9">
        <w:rPr>
          <w:sz w:val="22"/>
          <w:szCs w:val="22"/>
          <w:lang w:val="pt-BR"/>
        </w:rPr>
        <w:t>’</w:t>
      </w:r>
      <w:r w:rsidR="00BB0D7E" w:rsidRPr="00EB2DD9">
        <w:rPr>
          <w:sz w:val="22"/>
          <w:szCs w:val="22"/>
          <w:lang w:val="pt-BR"/>
        </w:rPr>
        <w:t>u paguar p</w:t>
      </w:r>
      <w:r w:rsidR="005D12E7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>r vitin ushtrimor.Tatim fitimi i paguesh</w:t>
      </w:r>
      <w:r w:rsidR="005D12E7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>m p</w:t>
      </w:r>
      <w:r w:rsidR="005D12E7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>r vitin aktual bazohet mbi fitimin e tatuesh</w:t>
      </w:r>
      <w:r w:rsidR="005D12E7" w:rsidRPr="00EB2DD9">
        <w:rPr>
          <w:sz w:val="22"/>
          <w:szCs w:val="22"/>
          <w:lang w:val="pt-BR"/>
        </w:rPr>
        <w:t>ë</w:t>
      </w:r>
      <w:r w:rsidR="00BB0D7E" w:rsidRPr="00EB2DD9">
        <w:rPr>
          <w:sz w:val="22"/>
          <w:szCs w:val="22"/>
          <w:lang w:val="pt-BR"/>
        </w:rPr>
        <w:t xml:space="preserve">m </w:t>
      </w:r>
      <w:r w:rsidR="008D5709" w:rsidRPr="00EB2DD9">
        <w:rPr>
          <w:sz w:val="22"/>
          <w:szCs w:val="22"/>
          <w:lang w:val="pt-BR"/>
        </w:rPr>
        <w:t>p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r vitin</w:t>
      </w:r>
      <w:r w:rsidR="008D5709" w:rsidRPr="00EB2DD9">
        <w:rPr>
          <w:sz w:val="22"/>
          <w:szCs w:val="22"/>
          <w:lang w:val="pt-BR"/>
        </w:rPr>
        <w:t>. Fitimi i tatuesh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>m ndryshon nga fitimi neto q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raportohet n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pasqyr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>n e t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ardhurave dhe shpenzimeve sepse ai p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>rjashton z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>ra te t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ardhurave dhe shpenzimeve q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jan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t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tatueshme apo t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zbritsh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>m n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vite t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tjer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dhe gjithashtu p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>rjashton z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>ra q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nuk jane kurr</w:t>
      </w:r>
      <w:r w:rsidRPr="00EB2DD9">
        <w:rPr>
          <w:sz w:val="22"/>
          <w:szCs w:val="22"/>
          <w:lang w:val="pt-BR"/>
        </w:rPr>
        <w:t>e t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tatueshem apo t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zbritsh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m</w:t>
      </w:r>
      <w:r w:rsidR="008D5709" w:rsidRPr="00EB2DD9">
        <w:rPr>
          <w:sz w:val="22"/>
          <w:szCs w:val="22"/>
          <w:lang w:val="pt-BR"/>
        </w:rPr>
        <w:t>. Detyrimi i shoq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>rise p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>r tatim fitimin e vitit llogaritet duke p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>rdorur normat e tatimit t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percaktuara nga legjislacioni shqiptar p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>r kontabilitetin n</w:t>
      </w:r>
      <w:r w:rsidR="005D12E7" w:rsidRPr="00EB2DD9">
        <w:rPr>
          <w:sz w:val="22"/>
          <w:szCs w:val="22"/>
          <w:lang w:val="pt-BR"/>
        </w:rPr>
        <w:t>ë</w:t>
      </w:r>
      <w:r w:rsidR="008D5709" w:rsidRPr="00EB2DD9">
        <w:rPr>
          <w:sz w:val="22"/>
          <w:szCs w:val="22"/>
          <w:lang w:val="pt-BR"/>
        </w:rPr>
        <w:t xml:space="preserve"> Shqip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ri</w:t>
      </w:r>
      <w:r w:rsidR="008D5709" w:rsidRPr="00EB2DD9">
        <w:rPr>
          <w:sz w:val="22"/>
          <w:szCs w:val="22"/>
          <w:lang w:val="pt-BR"/>
        </w:rPr>
        <w:t>. Norma aktuale e tatimit mbi</w:t>
      </w:r>
      <w:r w:rsidR="005C3881">
        <w:rPr>
          <w:sz w:val="22"/>
          <w:szCs w:val="22"/>
          <w:lang w:val="pt-BR"/>
        </w:rPr>
        <w:t xml:space="preserve"> fitimin eshte 10 % </w:t>
      </w:r>
      <w:r w:rsidR="0002177A">
        <w:rPr>
          <w:sz w:val="22"/>
          <w:szCs w:val="22"/>
          <w:lang w:val="pt-BR"/>
        </w:rPr>
        <w:t>.</w:t>
      </w:r>
      <w:r w:rsidR="00693804">
        <w:rPr>
          <w:sz w:val="22"/>
          <w:szCs w:val="22"/>
          <w:lang w:val="pt-BR"/>
        </w:rPr>
        <w:t xml:space="preserve"> </w:t>
      </w:r>
      <w:r w:rsidR="003E3CD2" w:rsidRPr="003E3CD2">
        <w:rPr>
          <w:b/>
          <w:sz w:val="22"/>
          <w:szCs w:val="22"/>
          <w:lang w:val="pt-BR"/>
        </w:rPr>
        <w:t>(Per vitin 2012 fitimi i shoqerise eshte ne vlere negative</w:t>
      </w:r>
      <w:r w:rsidR="003E3CD2">
        <w:rPr>
          <w:sz w:val="22"/>
          <w:szCs w:val="22"/>
          <w:lang w:val="pt-BR"/>
        </w:rPr>
        <w:t>)</w:t>
      </w:r>
    </w:p>
    <w:p w:rsidR="0002177A" w:rsidRPr="00EB2DD9" w:rsidRDefault="0002177A" w:rsidP="001B6FCD">
      <w:pPr>
        <w:ind w:left="360"/>
        <w:jc w:val="both"/>
        <w:rPr>
          <w:sz w:val="22"/>
          <w:szCs w:val="22"/>
          <w:lang w:val="pt-BR"/>
        </w:rPr>
      </w:pPr>
    </w:p>
    <w:p w:rsidR="005B59AA" w:rsidRPr="00EB2DD9" w:rsidRDefault="005B59AA" w:rsidP="001B6FCD">
      <w:pPr>
        <w:ind w:firstLine="360"/>
        <w:jc w:val="both"/>
        <w:rPr>
          <w:b/>
          <w:sz w:val="22"/>
          <w:szCs w:val="22"/>
          <w:lang w:val="pt-BR"/>
        </w:rPr>
      </w:pPr>
      <w:r w:rsidRPr="00EB2DD9">
        <w:rPr>
          <w:b/>
          <w:sz w:val="22"/>
          <w:szCs w:val="22"/>
          <w:lang w:val="pt-BR"/>
        </w:rPr>
        <w:t>Instrumentet financiar</w:t>
      </w:r>
      <w:r w:rsidR="005C3881">
        <w:rPr>
          <w:b/>
          <w:sz w:val="22"/>
          <w:szCs w:val="22"/>
          <w:lang w:val="pt-BR"/>
        </w:rPr>
        <w:t>ë</w:t>
      </w:r>
    </w:p>
    <w:p w:rsidR="005B59AA" w:rsidRPr="00EB2DD9" w:rsidRDefault="005B59AA" w:rsidP="001B6FCD">
      <w:pPr>
        <w:ind w:firstLine="360"/>
        <w:jc w:val="both"/>
        <w:rPr>
          <w:b/>
          <w:sz w:val="22"/>
          <w:szCs w:val="22"/>
          <w:lang w:val="pt-BR"/>
        </w:rPr>
      </w:pPr>
    </w:p>
    <w:p w:rsidR="005B59AA" w:rsidRPr="00EB2DD9" w:rsidRDefault="005B59AA" w:rsidP="001B6FCD">
      <w:pPr>
        <w:ind w:left="360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>Mjetet dhe detyrimet financiare njihen ne bilancin kontab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l t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shoq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ris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kur Shoqeria b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het pal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n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kushtet kontraktore p</w:t>
      </w:r>
      <w:r w:rsidR="005D12E7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>r instrumentin .</w:t>
      </w:r>
    </w:p>
    <w:p w:rsidR="00C56823" w:rsidRDefault="00C56823" w:rsidP="001B6FCD">
      <w:pPr>
        <w:ind w:firstLine="360"/>
        <w:jc w:val="both"/>
        <w:rPr>
          <w:b/>
          <w:sz w:val="22"/>
          <w:szCs w:val="22"/>
        </w:rPr>
      </w:pPr>
    </w:p>
    <w:p w:rsidR="00BB0D7E" w:rsidRDefault="00812FF3" w:rsidP="001B6FCD">
      <w:pPr>
        <w:ind w:firstLine="360"/>
        <w:jc w:val="both"/>
        <w:rPr>
          <w:b/>
          <w:sz w:val="22"/>
          <w:szCs w:val="22"/>
        </w:rPr>
      </w:pPr>
      <w:r w:rsidRPr="00EB2DD9">
        <w:rPr>
          <w:b/>
          <w:sz w:val="22"/>
          <w:szCs w:val="22"/>
        </w:rPr>
        <w:t>Kërkesat për t’u arkëtuar</w:t>
      </w:r>
    </w:p>
    <w:p w:rsidR="00C56823" w:rsidRPr="00EB2DD9" w:rsidRDefault="00C56823" w:rsidP="001B6FCD">
      <w:pPr>
        <w:ind w:firstLine="360"/>
        <w:jc w:val="both"/>
        <w:rPr>
          <w:b/>
          <w:sz w:val="22"/>
          <w:szCs w:val="22"/>
        </w:rPr>
      </w:pPr>
    </w:p>
    <w:p w:rsidR="00B1697F" w:rsidRPr="00EB2DD9" w:rsidRDefault="00B1697F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K</w:t>
      </w:r>
      <w:r w:rsidR="0023125C" w:rsidRPr="00EB2DD9">
        <w:rPr>
          <w:sz w:val="22"/>
          <w:szCs w:val="22"/>
        </w:rPr>
        <w:t>ërkesat për t’u arkëtuar, të ardhurat e konstatuara dhe llogari të</w:t>
      </w:r>
      <w:r w:rsidR="00812FF3" w:rsidRPr="00EB2DD9">
        <w:rPr>
          <w:sz w:val="22"/>
          <w:szCs w:val="22"/>
        </w:rPr>
        <w:t xml:space="preserve"> </w:t>
      </w:r>
      <w:r w:rsidR="0023125C" w:rsidRPr="00EB2DD9">
        <w:rPr>
          <w:sz w:val="22"/>
          <w:szCs w:val="22"/>
        </w:rPr>
        <w:t>tjera afatshkurtra dhe afatgjata, për t’u arkëtuar në parà</w:t>
      </w:r>
      <w:r w:rsidR="00812FF3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regjistrohen në</w:t>
      </w:r>
      <w:r w:rsidR="00812FF3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bilanc me kosto të amortizuar. Kostoja e amortizuar e kërkesave për t'u arkëtuar afatshkurtra, në</w:t>
      </w:r>
      <w:r w:rsidR="00812FF3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përgjithësi është e barabartë me vlerën e tyre nominale (minus</w:t>
      </w:r>
      <w:r w:rsidR="00812FF3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provizionet e krijuara për rënie në vlerë), kështu që kërkesat</w:t>
      </w:r>
      <w:r w:rsidR="00812FF3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afatshkurtra regjistrohen në bilanc me vlerën e tyre neto të</w:t>
      </w:r>
      <w:r w:rsidR="00812FF3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 xml:space="preserve">realizueshme (e cila </w:t>
      </w:r>
      <w:r w:rsidR="00812FF3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raportohet, për shembull në një faturë, kontratë</w:t>
      </w:r>
      <w:r w:rsidR="00812FF3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ose dokument tjetër).</w:t>
      </w:r>
    </w:p>
    <w:p w:rsidR="00B1697F" w:rsidRDefault="00B1697F" w:rsidP="001B6FCD">
      <w:pPr>
        <w:autoSpaceDE w:val="0"/>
        <w:autoSpaceDN w:val="0"/>
        <w:adjustRightInd w:val="0"/>
        <w:jc w:val="both"/>
        <w:rPr>
          <w:color w:val="008100"/>
          <w:sz w:val="22"/>
          <w:szCs w:val="22"/>
        </w:rPr>
      </w:pPr>
    </w:p>
    <w:p w:rsidR="003E3CD2" w:rsidRDefault="003E3CD2" w:rsidP="001B6FCD">
      <w:pPr>
        <w:autoSpaceDE w:val="0"/>
        <w:autoSpaceDN w:val="0"/>
        <w:adjustRightInd w:val="0"/>
        <w:jc w:val="both"/>
        <w:rPr>
          <w:color w:val="008100"/>
          <w:sz w:val="22"/>
          <w:szCs w:val="22"/>
        </w:rPr>
      </w:pPr>
    </w:p>
    <w:p w:rsidR="003E3CD2" w:rsidRDefault="003E3CD2" w:rsidP="001B6FCD">
      <w:pPr>
        <w:autoSpaceDE w:val="0"/>
        <w:autoSpaceDN w:val="0"/>
        <w:adjustRightInd w:val="0"/>
        <w:jc w:val="both"/>
        <w:rPr>
          <w:color w:val="008100"/>
          <w:sz w:val="22"/>
          <w:szCs w:val="22"/>
        </w:rPr>
      </w:pPr>
    </w:p>
    <w:p w:rsidR="003E3CD2" w:rsidRDefault="003E3CD2" w:rsidP="001B6FCD">
      <w:pPr>
        <w:autoSpaceDE w:val="0"/>
        <w:autoSpaceDN w:val="0"/>
        <w:adjustRightInd w:val="0"/>
        <w:jc w:val="both"/>
        <w:rPr>
          <w:color w:val="008100"/>
          <w:sz w:val="22"/>
          <w:szCs w:val="22"/>
        </w:rPr>
      </w:pPr>
    </w:p>
    <w:p w:rsidR="003E3CD2" w:rsidRDefault="003E3CD2" w:rsidP="001B6FCD">
      <w:pPr>
        <w:autoSpaceDE w:val="0"/>
        <w:autoSpaceDN w:val="0"/>
        <w:adjustRightInd w:val="0"/>
        <w:jc w:val="both"/>
        <w:rPr>
          <w:color w:val="008100"/>
          <w:sz w:val="22"/>
          <w:szCs w:val="22"/>
        </w:rPr>
      </w:pPr>
    </w:p>
    <w:p w:rsidR="003E3CD2" w:rsidRPr="00EB2DD9" w:rsidRDefault="003E3CD2" w:rsidP="001B6FCD">
      <w:pPr>
        <w:autoSpaceDE w:val="0"/>
        <w:autoSpaceDN w:val="0"/>
        <w:adjustRightInd w:val="0"/>
        <w:jc w:val="both"/>
        <w:rPr>
          <w:color w:val="008100"/>
          <w:sz w:val="22"/>
          <w:szCs w:val="22"/>
        </w:rPr>
      </w:pPr>
    </w:p>
    <w:p w:rsidR="00C56823" w:rsidRPr="006F3B3C" w:rsidRDefault="00C56823" w:rsidP="00C56823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lastRenderedPageBreak/>
        <w:t>S</w:t>
      </w:r>
      <w:r>
        <w:rPr>
          <w:rFonts w:ascii="Century Gothic" w:hAnsi="Century Gothic"/>
          <w:b/>
          <w:bCs/>
          <w:sz w:val="22"/>
          <w:szCs w:val="22"/>
          <w:lang w:val="nl-NL"/>
        </w:rPr>
        <w:t xml:space="preserve">HENIME PER PASQYRAT FINANCIARE </w:t>
      </w:r>
    </w:p>
    <w:p w:rsidR="00C56823" w:rsidRPr="00B1225B" w:rsidRDefault="00C56823" w:rsidP="00C56823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>vitet ushtrimor te mbyllur më</w:t>
      </w: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 31 Dh</w:t>
      </w:r>
      <w:r w:rsidR="00D63229">
        <w:rPr>
          <w:rFonts w:ascii="Century Gothic" w:hAnsi="Century Gothic"/>
          <w:b/>
          <w:bCs/>
          <w:sz w:val="22"/>
          <w:szCs w:val="22"/>
          <w:lang w:val="pt-BR"/>
        </w:rPr>
        <w:t>jetor 201</w:t>
      </w:r>
      <w:r w:rsidR="00730562">
        <w:rPr>
          <w:rFonts w:ascii="Century Gothic" w:hAnsi="Century Gothic"/>
          <w:b/>
          <w:bCs/>
          <w:sz w:val="22"/>
          <w:szCs w:val="22"/>
          <w:lang w:val="pt-BR"/>
        </w:rPr>
        <w:t xml:space="preserve">2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 xml:space="preserve"> dhe 20</w:t>
      </w:r>
      <w:r w:rsidR="00730562">
        <w:rPr>
          <w:rFonts w:ascii="Century Gothic" w:hAnsi="Century Gothic"/>
          <w:b/>
          <w:bCs/>
          <w:sz w:val="22"/>
          <w:szCs w:val="22"/>
          <w:lang w:val="pt-BR"/>
        </w:rPr>
        <w:t>11</w:t>
      </w:r>
    </w:p>
    <w:p w:rsidR="00C56823" w:rsidRPr="006F3B3C" w:rsidRDefault="00C56823" w:rsidP="00C56823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pt-BR"/>
        </w:rPr>
      </w:pPr>
      <w:r w:rsidRPr="006F3B3C">
        <w:rPr>
          <w:rFonts w:ascii="Century Gothic" w:hAnsi="Century Gothic"/>
          <w:b/>
          <w:bCs/>
          <w:sz w:val="18"/>
          <w:szCs w:val="18"/>
          <w:lang w:val="pt-BR"/>
        </w:rPr>
        <w:t>(Të gjitha balancat janë në lekë</w:t>
      </w:r>
      <w:r>
        <w:rPr>
          <w:rFonts w:ascii="Century Gothic" w:hAnsi="Century Gothic"/>
          <w:b/>
          <w:bCs/>
          <w:sz w:val="18"/>
          <w:szCs w:val="18"/>
          <w:lang w:val="pt-BR"/>
        </w:rPr>
        <w:t>).</w:t>
      </w:r>
    </w:p>
    <w:p w:rsidR="00C56823" w:rsidRDefault="00C56823" w:rsidP="001B6FCD">
      <w:pPr>
        <w:autoSpaceDE w:val="0"/>
        <w:autoSpaceDN w:val="0"/>
        <w:adjustRightInd w:val="0"/>
        <w:ind w:firstLine="360"/>
        <w:jc w:val="both"/>
        <w:rPr>
          <w:b/>
          <w:sz w:val="22"/>
          <w:szCs w:val="22"/>
        </w:rPr>
      </w:pPr>
    </w:p>
    <w:p w:rsidR="00B1697F" w:rsidRPr="00EB2DD9" w:rsidRDefault="005B59AA" w:rsidP="001B6FCD">
      <w:pPr>
        <w:autoSpaceDE w:val="0"/>
        <w:autoSpaceDN w:val="0"/>
        <w:adjustRightInd w:val="0"/>
        <w:ind w:firstLine="360"/>
        <w:jc w:val="both"/>
        <w:rPr>
          <w:b/>
          <w:sz w:val="22"/>
          <w:szCs w:val="22"/>
        </w:rPr>
      </w:pPr>
      <w:r w:rsidRPr="00EB2DD9">
        <w:rPr>
          <w:b/>
          <w:sz w:val="22"/>
          <w:szCs w:val="22"/>
        </w:rPr>
        <w:t xml:space="preserve">Detyrimet </w:t>
      </w:r>
      <w:r w:rsidR="00F0166B" w:rsidRPr="00EB2DD9">
        <w:rPr>
          <w:b/>
          <w:sz w:val="22"/>
          <w:szCs w:val="22"/>
        </w:rPr>
        <w:t xml:space="preserve">  financiare</w:t>
      </w:r>
    </w:p>
    <w:p w:rsidR="004C462E" w:rsidRPr="00EB2DD9" w:rsidRDefault="004C462E" w:rsidP="001B6FCD">
      <w:pPr>
        <w:autoSpaceDE w:val="0"/>
        <w:autoSpaceDN w:val="0"/>
        <w:adjustRightInd w:val="0"/>
        <w:ind w:firstLine="360"/>
        <w:jc w:val="both"/>
        <w:rPr>
          <w:b/>
          <w:sz w:val="22"/>
          <w:szCs w:val="22"/>
        </w:rPr>
      </w:pPr>
    </w:p>
    <w:p w:rsidR="007329C8" w:rsidRPr="00EB2DD9" w:rsidRDefault="007329C8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Detyrimet financiare jan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klasifikuar sipas llojit te marr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veshjes kontraktuale </w:t>
      </w:r>
    </w:p>
    <w:p w:rsidR="0023125C" w:rsidRPr="00EB2DD9" w:rsidRDefault="00F0166B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H</w:t>
      </w:r>
      <w:r w:rsidR="0023125C" w:rsidRPr="00EB2DD9">
        <w:rPr>
          <w:sz w:val="22"/>
          <w:szCs w:val="22"/>
        </w:rPr>
        <w:t>uat</w:t>
      </w:r>
      <w:r w:rsidR="005D12E7" w:rsidRPr="00EB2DD9">
        <w:rPr>
          <w:sz w:val="22"/>
          <w:szCs w:val="22"/>
        </w:rPr>
        <w:t>ë</w:t>
      </w:r>
      <w:r w:rsidR="0023125C" w:rsidRPr="00EB2DD9">
        <w:rPr>
          <w:sz w:val="22"/>
          <w:szCs w:val="22"/>
        </w:rPr>
        <w:t xml:space="preserve"> e marra, furni</w:t>
      </w:r>
      <w:r w:rsidR="00F34C14" w:rsidRPr="00EB2DD9">
        <w:rPr>
          <w:sz w:val="22"/>
          <w:szCs w:val="22"/>
        </w:rPr>
        <w:t>torët, shpenzimet e konstatuara</w:t>
      </w:r>
      <w:r w:rsidR="0023125C" w:rsidRPr="00EB2DD9">
        <w:rPr>
          <w:sz w:val="22"/>
          <w:szCs w:val="22"/>
        </w:rPr>
        <w:t xml:space="preserve"> dhe huamarrje të tjera afatshkurtra dhe afatgjata, për t’u</w:t>
      </w:r>
      <w:r w:rsidRPr="00EB2DD9">
        <w:rPr>
          <w:sz w:val="22"/>
          <w:szCs w:val="22"/>
        </w:rPr>
        <w:t xml:space="preserve"> </w:t>
      </w:r>
      <w:r w:rsidR="0023125C" w:rsidRPr="00EB2DD9">
        <w:rPr>
          <w:sz w:val="22"/>
          <w:szCs w:val="22"/>
        </w:rPr>
        <w:t>shlyer në parà</w:t>
      </w:r>
      <w:r w:rsidR="00B1697F" w:rsidRPr="00EB2DD9">
        <w:rPr>
          <w:sz w:val="22"/>
          <w:szCs w:val="22"/>
        </w:rPr>
        <w:t>, në përgjithësi, mbahen me koston e amortizuar në</w:t>
      </w:r>
      <w:r w:rsidRPr="00EB2DD9">
        <w:rPr>
          <w:sz w:val="22"/>
          <w:szCs w:val="22"/>
        </w:rPr>
        <w:t xml:space="preserve"> </w:t>
      </w:r>
      <w:r w:rsidR="00B1697F" w:rsidRPr="00EB2DD9">
        <w:rPr>
          <w:sz w:val="22"/>
          <w:szCs w:val="22"/>
        </w:rPr>
        <w:t>bilanc. Kostoja e amortizuar e pasiveve financiare afatshkurtra, në</w:t>
      </w:r>
      <w:r w:rsidRPr="00EB2DD9">
        <w:rPr>
          <w:sz w:val="22"/>
          <w:szCs w:val="22"/>
        </w:rPr>
        <w:t xml:space="preserve"> </w:t>
      </w:r>
      <w:r w:rsidR="00B1697F" w:rsidRPr="00EB2DD9">
        <w:rPr>
          <w:sz w:val="22"/>
          <w:szCs w:val="22"/>
        </w:rPr>
        <w:t>përgjithësi, është e barabartë me vlerën e tyre nominale; kështu që</w:t>
      </w:r>
      <w:r w:rsidRPr="00EB2DD9">
        <w:rPr>
          <w:sz w:val="22"/>
          <w:szCs w:val="22"/>
        </w:rPr>
        <w:t xml:space="preserve"> </w:t>
      </w:r>
      <w:r w:rsidR="00557875" w:rsidRPr="00EB2DD9">
        <w:rPr>
          <w:sz w:val="22"/>
          <w:szCs w:val="22"/>
        </w:rPr>
        <w:t>pasivet financiare</w:t>
      </w:r>
      <w:r w:rsidR="00B1697F" w:rsidRPr="00EB2DD9">
        <w:rPr>
          <w:sz w:val="22"/>
          <w:szCs w:val="22"/>
        </w:rPr>
        <w:t xml:space="preserve"> afatshkurtra mbahen në bilanc në vlerën e tyre</w:t>
      </w:r>
      <w:r w:rsidRPr="00EB2DD9">
        <w:rPr>
          <w:sz w:val="22"/>
          <w:szCs w:val="22"/>
        </w:rPr>
        <w:t xml:space="preserve"> </w:t>
      </w:r>
      <w:r w:rsidR="00B1697F" w:rsidRPr="00EB2DD9">
        <w:rPr>
          <w:sz w:val="22"/>
          <w:szCs w:val="22"/>
        </w:rPr>
        <w:t>neto të realizueshme (për shembull, të raportuar në një faturë,</w:t>
      </w:r>
      <w:r w:rsidRPr="00EB2DD9">
        <w:rPr>
          <w:sz w:val="22"/>
          <w:szCs w:val="22"/>
        </w:rPr>
        <w:t xml:space="preserve"> </w:t>
      </w:r>
      <w:r w:rsidR="00B1697F" w:rsidRPr="00EB2DD9">
        <w:rPr>
          <w:sz w:val="22"/>
          <w:szCs w:val="22"/>
        </w:rPr>
        <w:t>kontratë ose dokument tjetër).</w:t>
      </w:r>
    </w:p>
    <w:p w:rsidR="005A7C46" w:rsidRPr="00EB2DD9" w:rsidRDefault="005A7C46" w:rsidP="001B6FCD">
      <w:pPr>
        <w:ind w:left="360"/>
        <w:jc w:val="both"/>
        <w:rPr>
          <w:b/>
          <w:sz w:val="22"/>
          <w:szCs w:val="22"/>
        </w:rPr>
      </w:pPr>
    </w:p>
    <w:p w:rsidR="0023125C" w:rsidRPr="00EB2DD9" w:rsidRDefault="00AA0351" w:rsidP="001B6FCD">
      <w:pPr>
        <w:ind w:left="360"/>
        <w:jc w:val="both"/>
        <w:rPr>
          <w:b/>
          <w:sz w:val="22"/>
          <w:szCs w:val="22"/>
        </w:rPr>
      </w:pPr>
      <w:r w:rsidRPr="00EB2DD9">
        <w:rPr>
          <w:b/>
          <w:sz w:val="22"/>
          <w:szCs w:val="22"/>
        </w:rPr>
        <w:t>Risku I kreditimit</w:t>
      </w:r>
    </w:p>
    <w:p w:rsidR="005168AA" w:rsidRPr="00EB2DD9" w:rsidRDefault="005168AA" w:rsidP="001B6FCD">
      <w:pPr>
        <w:ind w:left="360"/>
        <w:jc w:val="both"/>
        <w:rPr>
          <w:sz w:val="22"/>
          <w:szCs w:val="22"/>
        </w:rPr>
      </w:pPr>
    </w:p>
    <w:p w:rsidR="00AA0351" w:rsidRPr="00EB2DD9" w:rsidRDefault="00AA0351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Risku I kreditimit 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Shoq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rise kryesisht I vishet k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rkesave p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 ark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tim dhe aktiveve 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tjera 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saj. Gjendjet e paraqitura n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bilancin kontab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l jan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zvog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luar nga provigjonet (shumat e parashikuara) p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 k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rkesat e dyshimta p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 ark</w:t>
      </w:r>
      <w:r w:rsidR="005D12E7" w:rsidRPr="00EB2DD9">
        <w:rPr>
          <w:sz w:val="22"/>
          <w:szCs w:val="22"/>
        </w:rPr>
        <w:t>ë</w:t>
      </w:r>
      <w:r w:rsidR="009913A4" w:rsidRPr="00EB2DD9">
        <w:rPr>
          <w:sz w:val="22"/>
          <w:szCs w:val="22"/>
        </w:rPr>
        <w:t>tim</w:t>
      </w:r>
      <w:r w:rsidRPr="00EB2DD9">
        <w:rPr>
          <w:sz w:val="22"/>
          <w:szCs w:val="22"/>
        </w:rPr>
        <w:t>, 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vler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suara nga drejtimi I shoq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rise mbi baz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n e e</w:t>
      </w:r>
      <w:r w:rsidR="009913A4" w:rsidRPr="00EB2DD9">
        <w:rPr>
          <w:sz w:val="22"/>
          <w:szCs w:val="22"/>
        </w:rPr>
        <w:t>ks</w:t>
      </w:r>
      <w:r w:rsidRPr="00EB2DD9">
        <w:rPr>
          <w:sz w:val="22"/>
          <w:szCs w:val="22"/>
        </w:rPr>
        <w:t>perienc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s s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m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parshme dhe vler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simit 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mjedisit </w:t>
      </w:r>
      <w:r w:rsidR="00CD6A60" w:rsidRPr="00EB2DD9">
        <w:rPr>
          <w:sz w:val="22"/>
          <w:szCs w:val="22"/>
        </w:rPr>
        <w:t>ekonomik a</w:t>
      </w:r>
      <w:r w:rsidR="009913A4" w:rsidRPr="00EB2DD9">
        <w:rPr>
          <w:sz w:val="22"/>
          <w:szCs w:val="22"/>
        </w:rPr>
        <w:t>k</w:t>
      </w:r>
      <w:r w:rsidR="00CD6A60" w:rsidRPr="00EB2DD9">
        <w:rPr>
          <w:sz w:val="22"/>
          <w:szCs w:val="22"/>
        </w:rPr>
        <w:t>tual .</w:t>
      </w:r>
    </w:p>
    <w:p w:rsidR="00CD6A60" w:rsidRPr="00EB2DD9" w:rsidRDefault="00CD6A60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Shoq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ria nuk ka p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rqendrim 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r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nd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sish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m t</w:t>
      </w:r>
      <w:r w:rsidR="005D12E7" w:rsidRPr="00EB2DD9">
        <w:rPr>
          <w:sz w:val="22"/>
          <w:szCs w:val="22"/>
        </w:rPr>
        <w:t>ë</w:t>
      </w:r>
      <w:r w:rsidR="009913A4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riskut t</w:t>
      </w:r>
      <w:r w:rsidR="005D12E7" w:rsidRPr="00EB2DD9">
        <w:rPr>
          <w:sz w:val="22"/>
          <w:szCs w:val="22"/>
        </w:rPr>
        <w:t>ë</w:t>
      </w:r>
      <w:r w:rsidR="009913A4" w:rsidRPr="00EB2DD9">
        <w:rPr>
          <w:sz w:val="22"/>
          <w:szCs w:val="22"/>
        </w:rPr>
        <w:t xml:space="preserve"> kreditimit</w:t>
      </w:r>
      <w:r w:rsidRPr="00EB2DD9">
        <w:rPr>
          <w:sz w:val="22"/>
          <w:szCs w:val="22"/>
        </w:rPr>
        <w:t>, me nj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zbulim 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shp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rndar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n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nj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num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 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madh 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tret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sh dhe klient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sh.</w:t>
      </w:r>
    </w:p>
    <w:p w:rsidR="00AA0351" w:rsidRPr="00EB2DD9" w:rsidRDefault="00AA0351" w:rsidP="001B6FCD">
      <w:pPr>
        <w:ind w:left="360"/>
        <w:jc w:val="both"/>
        <w:rPr>
          <w:sz w:val="22"/>
          <w:szCs w:val="22"/>
        </w:rPr>
      </w:pPr>
    </w:p>
    <w:p w:rsidR="00BB0D7E" w:rsidRPr="00EB2DD9" w:rsidRDefault="00557875" w:rsidP="001B6FCD">
      <w:pPr>
        <w:ind w:left="360"/>
        <w:jc w:val="both"/>
        <w:rPr>
          <w:b/>
          <w:sz w:val="22"/>
          <w:szCs w:val="22"/>
        </w:rPr>
      </w:pPr>
      <w:r w:rsidRPr="00EB2DD9">
        <w:rPr>
          <w:b/>
          <w:sz w:val="22"/>
          <w:szCs w:val="22"/>
        </w:rPr>
        <w:t>Aktivet afatgjata</w:t>
      </w:r>
      <w:r w:rsidR="00822F81" w:rsidRPr="00EB2DD9">
        <w:rPr>
          <w:b/>
          <w:sz w:val="22"/>
          <w:szCs w:val="22"/>
        </w:rPr>
        <w:t xml:space="preserve"> materiale </w:t>
      </w:r>
      <w:r w:rsidRPr="00EB2DD9">
        <w:rPr>
          <w:b/>
          <w:sz w:val="22"/>
          <w:szCs w:val="22"/>
        </w:rPr>
        <w:t>(AAM</w:t>
      </w:r>
      <w:r w:rsidR="00822F81" w:rsidRPr="00EB2DD9">
        <w:rPr>
          <w:b/>
          <w:sz w:val="22"/>
          <w:szCs w:val="22"/>
        </w:rPr>
        <w:t>-</w:t>
      </w:r>
      <w:r w:rsidRPr="00EB2DD9">
        <w:rPr>
          <w:b/>
          <w:sz w:val="22"/>
          <w:szCs w:val="22"/>
        </w:rPr>
        <w:t>te)</w:t>
      </w:r>
      <w:r w:rsidR="00BB0D7E" w:rsidRPr="00EB2DD9">
        <w:rPr>
          <w:b/>
          <w:sz w:val="22"/>
          <w:szCs w:val="22"/>
        </w:rPr>
        <w:t xml:space="preserve"> </w:t>
      </w:r>
    </w:p>
    <w:p w:rsidR="00BB0D7E" w:rsidRPr="00EB2DD9" w:rsidRDefault="00BB0D7E" w:rsidP="001B6FCD">
      <w:pPr>
        <w:ind w:left="360"/>
        <w:jc w:val="both"/>
        <w:rPr>
          <w:sz w:val="22"/>
          <w:szCs w:val="22"/>
        </w:rPr>
      </w:pPr>
    </w:p>
    <w:p w:rsidR="005168AA" w:rsidRPr="00EB2DD9" w:rsidRDefault="004C50BD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  <w:lang w:val="es-ES"/>
        </w:rPr>
        <w:t xml:space="preserve">Aktivet afatgjata </w:t>
      </w:r>
      <w:r w:rsidR="005E5702" w:rsidRPr="00EB2DD9">
        <w:rPr>
          <w:sz w:val="22"/>
          <w:szCs w:val="22"/>
          <w:lang w:val="es-ES"/>
        </w:rPr>
        <w:t>materiale</w:t>
      </w:r>
      <w:r w:rsidR="00557875" w:rsidRPr="00EB2DD9">
        <w:rPr>
          <w:sz w:val="22"/>
          <w:szCs w:val="22"/>
          <w:lang w:val="es-ES"/>
        </w:rPr>
        <w:t xml:space="preserve"> </w:t>
      </w:r>
      <w:r w:rsidR="005E5702" w:rsidRPr="00EB2DD9">
        <w:rPr>
          <w:sz w:val="22"/>
          <w:szCs w:val="22"/>
          <w:lang w:val="es-ES"/>
        </w:rPr>
        <w:t xml:space="preserve">AAM-të) </w:t>
      </w:r>
      <w:r w:rsidR="0060653F" w:rsidRPr="00EB2DD9">
        <w:rPr>
          <w:sz w:val="22"/>
          <w:szCs w:val="22"/>
          <w:lang w:val="es-ES"/>
        </w:rPr>
        <w:t>paraqiten me shuma te rivleresuara minus zhvleresimin</w:t>
      </w:r>
      <w:r w:rsidR="005E5702" w:rsidRPr="00EB2DD9">
        <w:rPr>
          <w:sz w:val="22"/>
          <w:szCs w:val="22"/>
          <w:lang w:val="es-ES"/>
        </w:rPr>
        <w:t xml:space="preserve">. </w:t>
      </w:r>
      <w:r w:rsidR="00A01B5F" w:rsidRPr="00EB2DD9">
        <w:rPr>
          <w:sz w:val="22"/>
          <w:szCs w:val="22"/>
          <w:lang w:val="es-ES"/>
        </w:rPr>
        <w:t>Në bilanc, një element i AAM-së paraqitet me kosto</w:t>
      </w:r>
      <w:r w:rsidR="00557875" w:rsidRPr="00EB2DD9">
        <w:rPr>
          <w:sz w:val="22"/>
          <w:szCs w:val="22"/>
          <w:lang w:val="es-ES"/>
        </w:rPr>
        <w:t>n historike</w:t>
      </w:r>
      <w:r w:rsidR="00A01B5F" w:rsidRPr="00EB2DD9">
        <w:rPr>
          <w:sz w:val="22"/>
          <w:szCs w:val="22"/>
          <w:lang w:val="es-ES"/>
        </w:rPr>
        <w:t xml:space="preserve"> minus amortizimin e akumuluar dhe ndonjë humbje të akumuluar nga zhvlerësimi.</w:t>
      </w:r>
      <w:r w:rsidR="005E5702" w:rsidRPr="00EB2DD9">
        <w:rPr>
          <w:sz w:val="22"/>
          <w:szCs w:val="22"/>
          <w:lang w:val="es-ES"/>
        </w:rPr>
        <w:t xml:space="preserve"> </w:t>
      </w:r>
      <w:r w:rsidR="00557875" w:rsidRPr="00EB2DD9">
        <w:rPr>
          <w:sz w:val="22"/>
          <w:szCs w:val="22"/>
          <w:lang w:val="es-ES"/>
        </w:rPr>
        <w:t>Në</w:t>
      </w:r>
      <w:r w:rsidR="00DC5855" w:rsidRPr="00EB2DD9">
        <w:rPr>
          <w:sz w:val="22"/>
          <w:szCs w:val="22"/>
          <w:lang w:val="es-ES"/>
        </w:rPr>
        <w:t>se vlera kontabël e një aktivi afatgjatë material rritet, si rezultat i rivlerësimit, kjo rritje kreditohet drejtpërdrejt në kapitalet e veta nën zërin “tepricë nga rivlerësimi”.</w:t>
      </w:r>
      <w:r w:rsidR="005E5702" w:rsidRPr="00EB2DD9">
        <w:rPr>
          <w:sz w:val="22"/>
          <w:szCs w:val="22"/>
          <w:lang w:val="es-ES"/>
        </w:rPr>
        <w:t xml:space="preserve"> </w:t>
      </w:r>
      <w:r w:rsidR="00DC5855" w:rsidRPr="00EB2DD9">
        <w:rPr>
          <w:sz w:val="22"/>
          <w:szCs w:val="22"/>
        </w:rPr>
        <w:t>Nëse vlera kontabël e një aktivi afatgjatë material zvogëlohet, si rezultat i rivlerësimit, ky zvogëlim njihet si shpenzim në pasqyrën e të ardhurave dhe shpenzimeve.</w:t>
      </w:r>
      <w:r w:rsidR="00AC174B" w:rsidRPr="00EB2DD9">
        <w:rPr>
          <w:sz w:val="22"/>
          <w:szCs w:val="22"/>
        </w:rPr>
        <w:t xml:space="preserve"> </w:t>
      </w:r>
      <w:r w:rsidR="00DC5855" w:rsidRPr="00EB2DD9">
        <w:rPr>
          <w:sz w:val="22"/>
          <w:szCs w:val="22"/>
        </w:rPr>
        <w:t>Amortizimi eshte llogaritur mbi bazen e metodes lineare per ndertesat dhe mbi bazen e vleren se mbetur per pjesen tjeter te aktiveve</w:t>
      </w:r>
      <w:r w:rsidR="008871F3" w:rsidRPr="00EB2DD9">
        <w:rPr>
          <w:sz w:val="22"/>
          <w:szCs w:val="22"/>
        </w:rPr>
        <w:t xml:space="preserve"> afatgjata materiale</w:t>
      </w:r>
      <w:r w:rsidR="00883D00" w:rsidRPr="00EB2DD9">
        <w:rPr>
          <w:sz w:val="22"/>
          <w:szCs w:val="22"/>
        </w:rPr>
        <w:t>, duke ngarkuar pasqyr</w:t>
      </w:r>
      <w:r w:rsidR="005D12E7" w:rsidRPr="00EB2DD9">
        <w:rPr>
          <w:sz w:val="22"/>
          <w:szCs w:val="22"/>
        </w:rPr>
        <w:t>ë</w:t>
      </w:r>
      <w:r w:rsidR="00883D00" w:rsidRPr="00EB2DD9">
        <w:rPr>
          <w:sz w:val="22"/>
          <w:szCs w:val="22"/>
        </w:rPr>
        <w:t>n e t</w:t>
      </w:r>
      <w:r w:rsidR="005D12E7" w:rsidRPr="00EB2DD9">
        <w:rPr>
          <w:sz w:val="22"/>
          <w:szCs w:val="22"/>
        </w:rPr>
        <w:t>ë</w:t>
      </w:r>
      <w:r w:rsidR="008871F3" w:rsidRPr="00EB2DD9">
        <w:rPr>
          <w:sz w:val="22"/>
          <w:szCs w:val="22"/>
        </w:rPr>
        <w:t xml:space="preserve"> ardhur</w:t>
      </w:r>
      <w:r w:rsidR="00883D00" w:rsidRPr="00EB2DD9">
        <w:rPr>
          <w:sz w:val="22"/>
          <w:szCs w:val="22"/>
        </w:rPr>
        <w:t xml:space="preserve">ave dhe shpenzimeve si me </w:t>
      </w:r>
      <w:r w:rsidR="00557875" w:rsidRPr="00EB2DD9">
        <w:rPr>
          <w:sz w:val="22"/>
          <w:szCs w:val="22"/>
        </w:rPr>
        <w:t xml:space="preserve">poshtë. </w:t>
      </w:r>
    </w:p>
    <w:p w:rsidR="005168AA" w:rsidRPr="00EB2DD9" w:rsidRDefault="00DC5855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Normat e</w:t>
      </w:r>
      <w:r w:rsidR="00587774">
        <w:rPr>
          <w:sz w:val="22"/>
          <w:szCs w:val="22"/>
        </w:rPr>
        <w:t xml:space="preserve"> aplikuara per vitet 201</w:t>
      </w:r>
      <w:r w:rsidR="00730562">
        <w:rPr>
          <w:sz w:val="22"/>
          <w:szCs w:val="22"/>
        </w:rPr>
        <w:t>2</w:t>
      </w:r>
      <w:r w:rsidR="005168AA" w:rsidRPr="00EB2DD9">
        <w:rPr>
          <w:sz w:val="22"/>
          <w:szCs w:val="22"/>
        </w:rPr>
        <w:t xml:space="preserve"> dhe </w:t>
      </w:r>
      <w:r w:rsidR="00557875" w:rsidRPr="00EB2DD9">
        <w:rPr>
          <w:sz w:val="22"/>
          <w:szCs w:val="22"/>
        </w:rPr>
        <w:t>20</w:t>
      </w:r>
      <w:r w:rsidR="00730562">
        <w:rPr>
          <w:sz w:val="22"/>
          <w:szCs w:val="22"/>
        </w:rPr>
        <w:t>11</w:t>
      </w:r>
      <w:r w:rsidR="00557875" w:rsidRPr="00EB2DD9">
        <w:rPr>
          <w:sz w:val="22"/>
          <w:szCs w:val="22"/>
        </w:rPr>
        <w:t xml:space="preserve"> janë:</w:t>
      </w:r>
    </w:p>
    <w:p w:rsidR="008871F3" w:rsidRPr="00EB2DD9" w:rsidRDefault="008871F3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A01B5F" w:rsidRPr="00EB2DD9" w:rsidRDefault="008871F3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Nd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rtesa </w:t>
      </w:r>
      <w:r w:rsidR="00DC5855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ab/>
      </w:r>
      <w:r w:rsidRPr="00EB2DD9">
        <w:rPr>
          <w:sz w:val="22"/>
          <w:szCs w:val="22"/>
        </w:rPr>
        <w:tab/>
      </w:r>
      <w:r w:rsidRPr="00EB2DD9">
        <w:rPr>
          <w:sz w:val="22"/>
          <w:szCs w:val="22"/>
        </w:rPr>
        <w:tab/>
      </w:r>
      <w:r w:rsidRPr="00EB2DD9">
        <w:rPr>
          <w:sz w:val="22"/>
          <w:szCs w:val="22"/>
        </w:rPr>
        <w:tab/>
        <w:t xml:space="preserve">  </w:t>
      </w:r>
      <w:r w:rsidR="00A33B81">
        <w:rPr>
          <w:sz w:val="22"/>
          <w:szCs w:val="22"/>
        </w:rPr>
        <w:tab/>
      </w:r>
      <w:r w:rsidR="00205D39">
        <w:rPr>
          <w:sz w:val="22"/>
          <w:szCs w:val="22"/>
        </w:rPr>
        <w:t xml:space="preserve">  </w:t>
      </w:r>
      <w:r w:rsidRPr="00EB2DD9">
        <w:rPr>
          <w:sz w:val="22"/>
          <w:szCs w:val="22"/>
        </w:rPr>
        <w:t>5%</w:t>
      </w:r>
    </w:p>
    <w:p w:rsidR="008871F3" w:rsidRPr="00EB2DD9" w:rsidRDefault="008871F3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Instalime teknike dhe makineri</w:t>
      </w:r>
      <w:r w:rsidRPr="00EB2DD9">
        <w:rPr>
          <w:sz w:val="22"/>
          <w:szCs w:val="22"/>
        </w:rPr>
        <w:tab/>
      </w:r>
      <w:r w:rsidRPr="00EB2DD9">
        <w:rPr>
          <w:sz w:val="22"/>
          <w:szCs w:val="22"/>
        </w:rPr>
        <w:tab/>
        <w:t>20%</w:t>
      </w:r>
    </w:p>
    <w:p w:rsidR="008871F3" w:rsidRPr="00EB2DD9" w:rsidRDefault="008871F3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Mjete transporti</w:t>
      </w:r>
      <w:r w:rsidRPr="00EB2DD9">
        <w:rPr>
          <w:sz w:val="22"/>
          <w:szCs w:val="22"/>
        </w:rPr>
        <w:tab/>
      </w:r>
      <w:r w:rsidRPr="00EB2DD9">
        <w:rPr>
          <w:sz w:val="22"/>
          <w:szCs w:val="22"/>
        </w:rPr>
        <w:tab/>
      </w:r>
      <w:r w:rsidRPr="00EB2DD9">
        <w:rPr>
          <w:sz w:val="22"/>
          <w:szCs w:val="22"/>
        </w:rPr>
        <w:tab/>
      </w:r>
      <w:r w:rsidR="00A33B81">
        <w:rPr>
          <w:sz w:val="22"/>
          <w:szCs w:val="22"/>
        </w:rPr>
        <w:tab/>
      </w:r>
      <w:r w:rsidRPr="00EB2DD9">
        <w:rPr>
          <w:sz w:val="22"/>
          <w:szCs w:val="22"/>
        </w:rPr>
        <w:t>20%</w:t>
      </w:r>
    </w:p>
    <w:p w:rsidR="008871F3" w:rsidRPr="00EB2DD9" w:rsidRDefault="008871F3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Paisje zyre</w:t>
      </w:r>
      <w:r w:rsidRPr="00EB2DD9">
        <w:rPr>
          <w:sz w:val="22"/>
          <w:szCs w:val="22"/>
        </w:rPr>
        <w:tab/>
      </w:r>
      <w:r w:rsidRPr="00EB2DD9">
        <w:rPr>
          <w:sz w:val="22"/>
          <w:szCs w:val="22"/>
        </w:rPr>
        <w:tab/>
      </w:r>
      <w:r w:rsidRPr="00EB2DD9">
        <w:rPr>
          <w:sz w:val="22"/>
          <w:szCs w:val="22"/>
        </w:rPr>
        <w:tab/>
      </w:r>
      <w:r w:rsidRPr="00EB2DD9">
        <w:rPr>
          <w:sz w:val="22"/>
          <w:szCs w:val="22"/>
        </w:rPr>
        <w:tab/>
      </w:r>
      <w:r w:rsidR="00A33B81">
        <w:rPr>
          <w:sz w:val="22"/>
          <w:szCs w:val="22"/>
        </w:rPr>
        <w:tab/>
      </w:r>
      <w:r w:rsidRPr="00EB2DD9">
        <w:rPr>
          <w:sz w:val="22"/>
          <w:szCs w:val="22"/>
        </w:rPr>
        <w:t>20%</w:t>
      </w:r>
    </w:p>
    <w:p w:rsidR="008871F3" w:rsidRPr="00EB2DD9" w:rsidRDefault="008871F3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 xml:space="preserve">Paisje informatike </w:t>
      </w:r>
      <w:r w:rsidRPr="00EB2DD9">
        <w:rPr>
          <w:sz w:val="22"/>
          <w:szCs w:val="22"/>
        </w:rPr>
        <w:tab/>
      </w:r>
      <w:r w:rsidRPr="00EB2DD9">
        <w:rPr>
          <w:sz w:val="22"/>
          <w:szCs w:val="22"/>
        </w:rPr>
        <w:tab/>
      </w:r>
      <w:r w:rsidRPr="00EB2DD9">
        <w:rPr>
          <w:sz w:val="22"/>
          <w:szCs w:val="22"/>
        </w:rPr>
        <w:tab/>
      </w:r>
      <w:r w:rsidR="00A33B81">
        <w:rPr>
          <w:sz w:val="22"/>
          <w:szCs w:val="22"/>
        </w:rPr>
        <w:tab/>
      </w:r>
      <w:r w:rsidRPr="00EB2DD9">
        <w:rPr>
          <w:sz w:val="22"/>
          <w:szCs w:val="22"/>
        </w:rPr>
        <w:t>2</w:t>
      </w:r>
      <w:r w:rsidR="00883D00" w:rsidRPr="00EB2DD9">
        <w:rPr>
          <w:sz w:val="22"/>
          <w:szCs w:val="22"/>
        </w:rPr>
        <w:t>5</w:t>
      </w:r>
      <w:r w:rsidRPr="00EB2DD9">
        <w:rPr>
          <w:sz w:val="22"/>
          <w:szCs w:val="22"/>
        </w:rPr>
        <w:t>%</w:t>
      </w:r>
    </w:p>
    <w:p w:rsidR="008871F3" w:rsidRPr="00EB2DD9" w:rsidRDefault="008871F3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B0D7E" w:rsidRPr="00EB2DD9" w:rsidRDefault="00AA152A" w:rsidP="001B6FCD">
      <w:pPr>
        <w:ind w:left="360"/>
        <w:jc w:val="both"/>
        <w:rPr>
          <w:b/>
          <w:sz w:val="22"/>
          <w:szCs w:val="22"/>
        </w:rPr>
      </w:pPr>
      <w:r w:rsidRPr="00EB2DD9">
        <w:rPr>
          <w:b/>
          <w:sz w:val="22"/>
          <w:szCs w:val="22"/>
        </w:rPr>
        <w:t>I</w:t>
      </w:r>
      <w:r w:rsidR="00BB0D7E" w:rsidRPr="00EB2DD9">
        <w:rPr>
          <w:b/>
          <w:sz w:val="22"/>
          <w:szCs w:val="22"/>
        </w:rPr>
        <w:t xml:space="preserve">nventaret </w:t>
      </w:r>
    </w:p>
    <w:p w:rsidR="00BB0D7E" w:rsidRPr="00EB2DD9" w:rsidRDefault="00BB0D7E" w:rsidP="001B6FCD">
      <w:pPr>
        <w:ind w:left="360"/>
        <w:jc w:val="both"/>
        <w:rPr>
          <w:sz w:val="22"/>
          <w:szCs w:val="22"/>
        </w:rPr>
      </w:pPr>
    </w:p>
    <w:p w:rsidR="00AA152A" w:rsidRPr="00EB2DD9" w:rsidRDefault="00F21116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Inventaret jan</w:t>
      </w:r>
      <w:r w:rsidR="005D12E7" w:rsidRPr="00EB2DD9">
        <w:rPr>
          <w:sz w:val="22"/>
          <w:szCs w:val="22"/>
        </w:rPr>
        <w:t>ë</w:t>
      </w:r>
      <w:r w:rsidR="00AA152A" w:rsidRPr="00EB2DD9">
        <w:rPr>
          <w:sz w:val="22"/>
          <w:szCs w:val="22"/>
        </w:rPr>
        <w:t xml:space="preserve"> paraqitur me vler</w:t>
      </w:r>
      <w:r w:rsidR="005D12E7" w:rsidRPr="00EB2DD9">
        <w:rPr>
          <w:sz w:val="22"/>
          <w:szCs w:val="22"/>
        </w:rPr>
        <w:t>ë</w:t>
      </w:r>
      <w:r w:rsidR="00AA152A" w:rsidRPr="00EB2DD9">
        <w:rPr>
          <w:sz w:val="22"/>
          <w:szCs w:val="22"/>
        </w:rPr>
        <w:t>n me t</w:t>
      </w:r>
      <w:r w:rsidR="005D12E7" w:rsidRPr="00EB2DD9">
        <w:rPr>
          <w:sz w:val="22"/>
          <w:szCs w:val="22"/>
        </w:rPr>
        <w:t>ë</w:t>
      </w:r>
      <w:r w:rsidR="00AA152A" w:rsidRPr="00EB2DD9">
        <w:rPr>
          <w:sz w:val="22"/>
          <w:szCs w:val="22"/>
        </w:rPr>
        <w:t xml:space="preserve"> ul</w:t>
      </w:r>
      <w:r w:rsidR="005D12E7" w:rsidRPr="00EB2DD9">
        <w:rPr>
          <w:sz w:val="22"/>
          <w:szCs w:val="22"/>
        </w:rPr>
        <w:t>ë</w:t>
      </w:r>
      <w:r w:rsidR="00AA152A" w:rsidRPr="00EB2DD9">
        <w:rPr>
          <w:sz w:val="22"/>
          <w:szCs w:val="22"/>
        </w:rPr>
        <w:t>t midis kostos dhe vler</w:t>
      </w:r>
      <w:r w:rsidR="005D12E7" w:rsidRPr="00EB2DD9">
        <w:rPr>
          <w:sz w:val="22"/>
          <w:szCs w:val="22"/>
        </w:rPr>
        <w:t>ë</w:t>
      </w:r>
      <w:r w:rsidR="00AA152A" w:rsidRPr="00EB2DD9">
        <w:rPr>
          <w:sz w:val="22"/>
          <w:szCs w:val="22"/>
        </w:rPr>
        <w:t>s neto t</w:t>
      </w:r>
      <w:r w:rsidR="005D12E7" w:rsidRPr="00EB2DD9">
        <w:rPr>
          <w:sz w:val="22"/>
          <w:szCs w:val="22"/>
        </w:rPr>
        <w:t>ë</w:t>
      </w:r>
      <w:r w:rsidR="00AA152A" w:rsidRPr="00EB2DD9">
        <w:rPr>
          <w:sz w:val="22"/>
          <w:szCs w:val="22"/>
        </w:rPr>
        <w:t xml:space="preserve"> </w:t>
      </w:r>
      <w:r w:rsidR="0056643C" w:rsidRPr="00EB2DD9">
        <w:rPr>
          <w:sz w:val="22"/>
          <w:szCs w:val="22"/>
        </w:rPr>
        <w:t xml:space="preserve">realizueshme. </w:t>
      </w:r>
    </w:p>
    <w:p w:rsidR="00AF4FF9" w:rsidRDefault="00AA152A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Kosto p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rb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het nga materiale direkte dhe, n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rastet kur 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sht</w:t>
      </w:r>
      <w:r w:rsidR="005D12E7" w:rsidRPr="00EB2DD9">
        <w:rPr>
          <w:sz w:val="22"/>
          <w:szCs w:val="22"/>
        </w:rPr>
        <w:t>ë</w:t>
      </w:r>
      <w:r w:rsidR="00F21116" w:rsidRPr="00EB2DD9">
        <w:rPr>
          <w:sz w:val="22"/>
          <w:szCs w:val="22"/>
        </w:rPr>
        <w:t xml:space="preserve"> e aplikueshme</w:t>
      </w:r>
      <w:r w:rsidRPr="00EB2DD9">
        <w:rPr>
          <w:sz w:val="22"/>
          <w:szCs w:val="22"/>
        </w:rPr>
        <w:t>, kostot e pun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s direkte dhe ato kosto te p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rgjithshme q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jan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ndeshur p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r 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sjell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inventare n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vendin dhe </w:t>
      </w:r>
    </w:p>
    <w:p w:rsidR="00864297" w:rsidRPr="00EB2DD9" w:rsidRDefault="00AA152A" w:rsidP="001B6FCD">
      <w:pPr>
        <w:ind w:left="360"/>
        <w:jc w:val="both"/>
        <w:rPr>
          <w:sz w:val="22"/>
          <w:szCs w:val="22"/>
          <w:lang w:val="es-ES"/>
        </w:rPr>
      </w:pPr>
      <w:r w:rsidRPr="00EB2DD9">
        <w:rPr>
          <w:sz w:val="22"/>
          <w:szCs w:val="22"/>
        </w:rPr>
        <w:t xml:space="preserve">kushte aktuale magazinimi. </w:t>
      </w:r>
      <w:r w:rsidR="00F21116" w:rsidRPr="00EB2DD9">
        <w:rPr>
          <w:sz w:val="22"/>
          <w:szCs w:val="22"/>
          <w:lang w:val="es-ES"/>
        </w:rPr>
        <w:t xml:space="preserve">Kosto 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>sht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 xml:space="preserve"> llogaritur duke p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 xml:space="preserve">rdorur </w:t>
      </w:r>
      <w:r w:rsidR="00864297" w:rsidRPr="00EB2DD9">
        <w:rPr>
          <w:sz w:val="22"/>
          <w:szCs w:val="22"/>
          <w:lang w:val="es-ES"/>
        </w:rPr>
        <w:t>metod</w:t>
      </w:r>
      <w:r w:rsidR="005D12E7" w:rsidRPr="00EB2DD9">
        <w:rPr>
          <w:sz w:val="22"/>
          <w:szCs w:val="22"/>
          <w:lang w:val="es-ES"/>
        </w:rPr>
        <w:t>ë</w:t>
      </w:r>
      <w:r w:rsidR="00F21116" w:rsidRPr="00EB2DD9">
        <w:rPr>
          <w:sz w:val="22"/>
          <w:szCs w:val="22"/>
          <w:lang w:val="es-ES"/>
        </w:rPr>
        <w:t>n e mesatares s</w:t>
      </w:r>
      <w:r w:rsidR="005D12E7" w:rsidRPr="00EB2DD9">
        <w:rPr>
          <w:sz w:val="22"/>
          <w:szCs w:val="22"/>
          <w:lang w:val="es-ES"/>
        </w:rPr>
        <w:t>ë</w:t>
      </w:r>
      <w:r w:rsidR="00864297" w:rsidRPr="00EB2DD9">
        <w:rPr>
          <w:sz w:val="22"/>
          <w:szCs w:val="22"/>
          <w:lang w:val="es-ES"/>
        </w:rPr>
        <w:t xml:space="preserve"> </w:t>
      </w:r>
      <w:r w:rsidR="0056643C" w:rsidRPr="00EB2DD9">
        <w:rPr>
          <w:sz w:val="22"/>
          <w:szCs w:val="22"/>
          <w:lang w:val="es-ES"/>
        </w:rPr>
        <w:t>ponderuar.</w:t>
      </w:r>
    </w:p>
    <w:p w:rsidR="00864297" w:rsidRPr="00EB2DD9" w:rsidRDefault="00864297" w:rsidP="001B6FCD">
      <w:pPr>
        <w:ind w:left="360"/>
        <w:jc w:val="both"/>
        <w:rPr>
          <w:sz w:val="22"/>
          <w:szCs w:val="22"/>
          <w:lang w:val="es-ES"/>
        </w:rPr>
      </w:pPr>
      <w:r w:rsidRPr="00EB2DD9">
        <w:rPr>
          <w:sz w:val="22"/>
          <w:szCs w:val="22"/>
          <w:lang w:val="es-ES"/>
        </w:rPr>
        <w:t>Vlera neto e realizueshme p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>rfaq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>son cmimin e vler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>s</w:t>
      </w:r>
      <w:r w:rsidR="00F505D0" w:rsidRPr="00EB2DD9">
        <w:rPr>
          <w:sz w:val="22"/>
          <w:szCs w:val="22"/>
          <w:lang w:val="es-ES"/>
        </w:rPr>
        <w:t>uar t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 xml:space="preserve"> shitjes minus kostot e vler</w:t>
      </w:r>
      <w:r w:rsidR="005D12E7" w:rsidRPr="00EB2DD9">
        <w:rPr>
          <w:sz w:val="22"/>
          <w:szCs w:val="22"/>
          <w:lang w:val="es-ES"/>
        </w:rPr>
        <w:t>ë</w:t>
      </w:r>
      <w:r w:rsidR="00F505D0" w:rsidRPr="00EB2DD9">
        <w:rPr>
          <w:sz w:val="22"/>
          <w:szCs w:val="22"/>
          <w:lang w:val="es-ES"/>
        </w:rPr>
        <w:t>suara t</w:t>
      </w:r>
      <w:r w:rsidR="005D12E7" w:rsidRPr="00EB2DD9">
        <w:rPr>
          <w:sz w:val="22"/>
          <w:szCs w:val="22"/>
          <w:lang w:val="es-ES"/>
        </w:rPr>
        <w:t>ë</w:t>
      </w:r>
      <w:r w:rsidR="00F505D0" w:rsidRPr="00EB2DD9">
        <w:rPr>
          <w:sz w:val="22"/>
          <w:szCs w:val="22"/>
          <w:lang w:val="es-ES"/>
        </w:rPr>
        <w:t xml:space="preserve"> </w:t>
      </w:r>
      <w:r w:rsidRPr="00EB2DD9">
        <w:rPr>
          <w:sz w:val="22"/>
          <w:szCs w:val="22"/>
          <w:lang w:val="es-ES"/>
        </w:rPr>
        <w:t>p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 xml:space="preserve">rfundimit dhe kostot e </w:t>
      </w:r>
      <w:r w:rsidR="0056643C" w:rsidRPr="00EB2DD9">
        <w:rPr>
          <w:sz w:val="22"/>
          <w:szCs w:val="22"/>
          <w:lang w:val="es-ES"/>
        </w:rPr>
        <w:t>marketingut,</w:t>
      </w:r>
      <w:r w:rsidRPr="00EB2DD9">
        <w:rPr>
          <w:sz w:val="22"/>
          <w:szCs w:val="22"/>
          <w:lang w:val="es-ES"/>
        </w:rPr>
        <w:t xml:space="preserve"> shitjes dhe </w:t>
      </w:r>
      <w:r w:rsidR="0056643C" w:rsidRPr="00EB2DD9">
        <w:rPr>
          <w:sz w:val="22"/>
          <w:szCs w:val="22"/>
          <w:lang w:val="es-ES"/>
        </w:rPr>
        <w:t>shpërndarjes.</w:t>
      </w:r>
    </w:p>
    <w:p w:rsidR="00BB0D7E" w:rsidRPr="00EB2DD9" w:rsidRDefault="00BB0D7E" w:rsidP="001B6FCD">
      <w:pPr>
        <w:ind w:left="360"/>
        <w:jc w:val="both"/>
        <w:rPr>
          <w:sz w:val="22"/>
          <w:szCs w:val="22"/>
          <w:lang w:val="es-ES"/>
        </w:rPr>
      </w:pPr>
      <w:r w:rsidRPr="00EB2DD9">
        <w:rPr>
          <w:sz w:val="22"/>
          <w:szCs w:val="22"/>
          <w:lang w:val="es-ES"/>
        </w:rPr>
        <w:t>Gjendjet e inventarit n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 xml:space="preserve">  pasqyrat financiaret p</w:t>
      </w:r>
      <w:r w:rsidR="00F505D0" w:rsidRPr="00EB2DD9">
        <w:rPr>
          <w:sz w:val="22"/>
          <w:szCs w:val="22"/>
          <w:lang w:val="es-ES"/>
        </w:rPr>
        <w:t>araqiten me kostot e blerjeve t</w:t>
      </w:r>
      <w:r w:rsidR="005D12E7" w:rsidRPr="00EB2DD9">
        <w:rPr>
          <w:sz w:val="22"/>
          <w:szCs w:val="22"/>
          <w:lang w:val="es-ES"/>
        </w:rPr>
        <w:t>ë</w:t>
      </w:r>
      <w:r w:rsidR="00F505D0" w:rsidRPr="00EB2DD9">
        <w:rPr>
          <w:sz w:val="22"/>
          <w:szCs w:val="22"/>
          <w:lang w:val="es-ES"/>
        </w:rPr>
        <w:t xml:space="preserve"> fundit t</w:t>
      </w:r>
      <w:r w:rsidR="005D12E7" w:rsidRPr="00EB2DD9">
        <w:rPr>
          <w:sz w:val="22"/>
          <w:szCs w:val="22"/>
          <w:lang w:val="es-ES"/>
        </w:rPr>
        <w:t>ë</w:t>
      </w:r>
      <w:r w:rsidR="00F505D0" w:rsidRPr="00EB2DD9">
        <w:rPr>
          <w:sz w:val="22"/>
          <w:szCs w:val="22"/>
          <w:lang w:val="es-ES"/>
        </w:rPr>
        <w:t xml:space="preserve"> ushtrimitt q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 xml:space="preserve"> nga drejtimi 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>sht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 xml:space="preserve"> çmuar si vlera neto t</w:t>
      </w:r>
      <w:r w:rsidR="005D12E7" w:rsidRPr="00EB2DD9">
        <w:rPr>
          <w:sz w:val="22"/>
          <w:szCs w:val="22"/>
          <w:lang w:val="es-ES"/>
        </w:rPr>
        <w:t>ë</w:t>
      </w:r>
      <w:r w:rsidRPr="00EB2DD9">
        <w:rPr>
          <w:sz w:val="22"/>
          <w:szCs w:val="22"/>
          <w:lang w:val="es-ES"/>
        </w:rPr>
        <w:t xml:space="preserve"> realizueshme. </w:t>
      </w:r>
    </w:p>
    <w:p w:rsidR="00B409C4" w:rsidRDefault="00B409C4" w:rsidP="00B409C4">
      <w:pPr>
        <w:ind w:left="360"/>
        <w:jc w:val="both"/>
        <w:rPr>
          <w:b/>
          <w:sz w:val="22"/>
          <w:szCs w:val="22"/>
          <w:u w:val="single"/>
        </w:rPr>
      </w:pPr>
    </w:p>
    <w:p w:rsidR="00795511" w:rsidRDefault="00795511" w:rsidP="00B409C4">
      <w:pPr>
        <w:ind w:left="360"/>
        <w:jc w:val="both"/>
        <w:rPr>
          <w:b/>
          <w:sz w:val="22"/>
          <w:szCs w:val="22"/>
          <w:u w:val="single"/>
        </w:rPr>
      </w:pPr>
    </w:p>
    <w:p w:rsidR="00795511" w:rsidRDefault="00795511" w:rsidP="00B409C4">
      <w:pPr>
        <w:ind w:left="360"/>
        <w:jc w:val="both"/>
        <w:rPr>
          <w:b/>
          <w:sz w:val="22"/>
          <w:szCs w:val="22"/>
          <w:u w:val="single"/>
        </w:rPr>
      </w:pPr>
    </w:p>
    <w:p w:rsidR="00B409C4" w:rsidRPr="006F3B3C" w:rsidRDefault="00427312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>
        <w:rPr>
          <w:rFonts w:ascii="Century Gothic" w:hAnsi="Century Gothic"/>
          <w:b/>
          <w:bCs/>
          <w:sz w:val="22"/>
          <w:szCs w:val="22"/>
          <w:lang w:val="nl-NL"/>
        </w:rPr>
        <w:lastRenderedPageBreak/>
        <w:t xml:space="preserve">     </w:t>
      </w:r>
      <w:r w:rsidR="00B409C4" w:rsidRPr="006F3B3C">
        <w:rPr>
          <w:rFonts w:ascii="Century Gothic" w:hAnsi="Century Gothic"/>
          <w:b/>
          <w:bCs/>
          <w:sz w:val="22"/>
          <w:szCs w:val="22"/>
          <w:lang w:val="nl-NL"/>
        </w:rPr>
        <w:t>S</w:t>
      </w:r>
      <w:r w:rsidR="00B409C4">
        <w:rPr>
          <w:rFonts w:ascii="Century Gothic" w:hAnsi="Century Gothic"/>
          <w:b/>
          <w:bCs/>
          <w:sz w:val="22"/>
          <w:szCs w:val="22"/>
          <w:lang w:val="nl-NL"/>
        </w:rPr>
        <w:t xml:space="preserve">HENIME PER PASQYRAT FINANCIARE </w:t>
      </w:r>
    </w:p>
    <w:p w:rsidR="00B409C4" w:rsidRPr="00B1225B" w:rsidRDefault="00427312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>
        <w:rPr>
          <w:rFonts w:ascii="Century Gothic" w:hAnsi="Century Gothic"/>
          <w:b/>
          <w:bCs/>
          <w:sz w:val="22"/>
          <w:szCs w:val="22"/>
          <w:lang w:val="pt-BR"/>
        </w:rPr>
        <w:t xml:space="preserve">     </w:t>
      </w:r>
      <w:r w:rsidR="00B409C4"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 w:rsidR="00B409C4">
        <w:rPr>
          <w:rFonts w:ascii="Century Gothic" w:hAnsi="Century Gothic"/>
          <w:b/>
          <w:bCs/>
          <w:sz w:val="22"/>
          <w:szCs w:val="22"/>
          <w:lang w:val="pt-BR"/>
        </w:rPr>
        <w:t>vitet ushtrimor te mbyllur më</w:t>
      </w:r>
      <w:r w:rsidR="007916C8">
        <w:rPr>
          <w:rFonts w:ascii="Century Gothic" w:hAnsi="Century Gothic"/>
          <w:b/>
          <w:bCs/>
          <w:sz w:val="22"/>
          <w:szCs w:val="22"/>
          <w:lang w:val="pt-BR"/>
        </w:rPr>
        <w:t xml:space="preserve"> 31 Dhjetor 201</w:t>
      </w:r>
      <w:r w:rsidR="00BF41E6">
        <w:rPr>
          <w:rFonts w:ascii="Century Gothic" w:hAnsi="Century Gothic"/>
          <w:b/>
          <w:bCs/>
          <w:sz w:val="22"/>
          <w:szCs w:val="22"/>
          <w:lang w:val="pt-BR"/>
        </w:rPr>
        <w:t>2</w:t>
      </w:r>
      <w:r w:rsidR="00B409C4">
        <w:rPr>
          <w:rFonts w:ascii="Century Gothic" w:hAnsi="Century Gothic"/>
          <w:b/>
          <w:bCs/>
          <w:sz w:val="22"/>
          <w:szCs w:val="22"/>
          <w:lang w:val="pt-BR"/>
        </w:rPr>
        <w:t>dhe 20</w:t>
      </w:r>
      <w:r w:rsidR="00BF41E6">
        <w:rPr>
          <w:rFonts w:ascii="Century Gothic" w:hAnsi="Century Gothic"/>
          <w:b/>
          <w:bCs/>
          <w:sz w:val="22"/>
          <w:szCs w:val="22"/>
          <w:lang w:val="pt-BR"/>
        </w:rPr>
        <w:t>11</w:t>
      </w:r>
    </w:p>
    <w:p w:rsidR="00B409C4" w:rsidRPr="006F3B3C" w:rsidRDefault="00427312" w:rsidP="00B409C4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pt-BR"/>
        </w:rPr>
      </w:pPr>
      <w:r>
        <w:rPr>
          <w:rFonts w:ascii="Century Gothic" w:hAnsi="Century Gothic"/>
          <w:b/>
          <w:bCs/>
          <w:sz w:val="18"/>
          <w:szCs w:val="18"/>
          <w:lang w:val="pt-BR"/>
        </w:rPr>
        <w:t xml:space="preserve">           </w:t>
      </w:r>
      <w:r w:rsidR="00B409C4" w:rsidRPr="006F3B3C">
        <w:rPr>
          <w:rFonts w:ascii="Century Gothic" w:hAnsi="Century Gothic"/>
          <w:b/>
          <w:bCs/>
          <w:sz w:val="18"/>
          <w:szCs w:val="18"/>
          <w:lang w:val="pt-BR"/>
        </w:rPr>
        <w:t>(Të gjitha balancat janë në lekë</w:t>
      </w:r>
      <w:r w:rsidR="00B409C4">
        <w:rPr>
          <w:rFonts w:ascii="Century Gothic" w:hAnsi="Century Gothic"/>
          <w:b/>
          <w:bCs/>
          <w:sz w:val="18"/>
          <w:szCs w:val="18"/>
          <w:lang w:val="pt-BR"/>
        </w:rPr>
        <w:t>).</w:t>
      </w:r>
    </w:p>
    <w:p w:rsidR="00B409C4" w:rsidRDefault="00B409C4" w:rsidP="00B409C4">
      <w:pPr>
        <w:ind w:left="360"/>
        <w:jc w:val="both"/>
        <w:rPr>
          <w:b/>
          <w:sz w:val="22"/>
          <w:szCs w:val="22"/>
          <w:u w:val="single"/>
        </w:rPr>
      </w:pPr>
    </w:p>
    <w:p w:rsidR="00BB0D7E" w:rsidRPr="00EB2DD9" w:rsidRDefault="00E2507D" w:rsidP="001B6FCD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EB2DD9">
        <w:rPr>
          <w:b/>
          <w:sz w:val="22"/>
          <w:szCs w:val="22"/>
          <w:u w:val="single"/>
        </w:rPr>
        <w:t>Aktive monetare (</w:t>
      </w:r>
      <w:r w:rsidR="00BD4548" w:rsidRPr="00EB2DD9">
        <w:rPr>
          <w:b/>
          <w:sz w:val="22"/>
          <w:szCs w:val="22"/>
          <w:u w:val="single"/>
        </w:rPr>
        <w:t>l</w:t>
      </w:r>
      <w:r w:rsidR="00BB0D7E" w:rsidRPr="00EB2DD9">
        <w:rPr>
          <w:b/>
          <w:sz w:val="22"/>
          <w:szCs w:val="22"/>
          <w:u w:val="single"/>
        </w:rPr>
        <w:t>ikujditete në</w:t>
      </w:r>
      <w:r w:rsidRPr="00EB2DD9">
        <w:rPr>
          <w:b/>
          <w:sz w:val="22"/>
          <w:szCs w:val="22"/>
          <w:u w:val="single"/>
        </w:rPr>
        <w:t xml:space="preserve"> arke dhe</w:t>
      </w:r>
      <w:r w:rsidR="00BB0D7E" w:rsidRPr="00EB2DD9">
        <w:rPr>
          <w:b/>
          <w:sz w:val="22"/>
          <w:szCs w:val="22"/>
          <w:u w:val="single"/>
        </w:rPr>
        <w:t xml:space="preserve"> bankë</w:t>
      </w:r>
      <w:r w:rsidRPr="00EB2DD9">
        <w:rPr>
          <w:b/>
          <w:sz w:val="22"/>
          <w:szCs w:val="22"/>
          <w:u w:val="single"/>
        </w:rPr>
        <w:t>)</w:t>
      </w:r>
    </w:p>
    <w:p w:rsidR="00693804" w:rsidRDefault="00693804" w:rsidP="001B6FCD">
      <w:pPr>
        <w:ind w:left="360"/>
        <w:jc w:val="both"/>
        <w:rPr>
          <w:sz w:val="22"/>
          <w:szCs w:val="22"/>
        </w:rPr>
      </w:pPr>
    </w:p>
    <w:p w:rsidR="00BB0D7E" w:rsidRPr="00EB2DD9" w:rsidRDefault="00BB0D7E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Gjendjet e mjetet monetare n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bank</w:t>
      </w:r>
      <w:r w:rsidR="005D12E7" w:rsidRPr="00EB2DD9">
        <w:rPr>
          <w:sz w:val="22"/>
          <w:szCs w:val="22"/>
        </w:rPr>
        <w:t>ë</w:t>
      </w:r>
      <w:r w:rsidR="00C26E5B" w:rsidRPr="00EB2DD9">
        <w:rPr>
          <w:sz w:val="22"/>
          <w:szCs w:val="22"/>
        </w:rPr>
        <w:t xml:space="preserve"> dhe ark</w:t>
      </w:r>
      <w:r w:rsidR="005D12E7" w:rsidRPr="00EB2DD9">
        <w:rPr>
          <w:sz w:val="22"/>
          <w:szCs w:val="22"/>
        </w:rPr>
        <w:t>ë</w:t>
      </w:r>
      <w:r w:rsidR="009B581B" w:rsidRPr="00EB2DD9">
        <w:rPr>
          <w:sz w:val="22"/>
          <w:szCs w:val="22"/>
        </w:rPr>
        <w:t>, n</w:t>
      </w:r>
      <w:r w:rsidR="005D12E7" w:rsidRPr="00EB2DD9">
        <w:rPr>
          <w:sz w:val="22"/>
          <w:szCs w:val="22"/>
        </w:rPr>
        <w:t>ë</w:t>
      </w:r>
      <w:r w:rsidR="009B581B" w:rsidRPr="00EB2DD9">
        <w:rPr>
          <w:sz w:val="22"/>
          <w:szCs w:val="22"/>
        </w:rPr>
        <w:t xml:space="preserve"> lek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 xml:space="preserve"> dhe </w:t>
      </w:r>
      <w:r w:rsidR="009B581B" w:rsidRPr="00EB2DD9">
        <w:rPr>
          <w:sz w:val="22"/>
          <w:szCs w:val="22"/>
        </w:rPr>
        <w:t>valut</w:t>
      </w:r>
      <w:r w:rsidR="005D12E7" w:rsidRPr="00EB2DD9">
        <w:rPr>
          <w:sz w:val="22"/>
          <w:szCs w:val="22"/>
        </w:rPr>
        <w:t>ë</w:t>
      </w:r>
      <w:r w:rsidR="009B581B" w:rsidRPr="00EB2DD9">
        <w:rPr>
          <w:sz w:val="22"/>
          <w:szCs w:val="22"/>
        </w:rPr>
        <w:t>, n</w:t>
      </w:r>
      <w:r w:rsidR="005D12E7" w:rsidRPr="00EB2DD9">
        <w:rPr>
          <w:sz w:val="22"/>
          <w:szCs w:val="22"/>
        </w:rPr>
        <w:t>ë</w:t>
      </w:r>
      <w:r w:rsidR="007916C8">
        <w:rPr>
          <w:sz w:val="22"/>
          <w:szCs w:val="22"/>
        </w:rPr>
        <w:t xml:space="preserve"> datat  31 Dhjetor 201</w:t>
      </w:r>
      <w:r w:rsidR="00427312">
        <w:rPr>
          <w:sz w:val="22"/>
          <w:szCs w:val="22"/>
        </w:rPr>
        <w:t xml:space="preserve">2 </w:t>
      </w:r>
      <w:r w:rsidRPr="00EB2DD9">
        <w:rPr>
          <w:sz w:val="22"/>
          <w:szCs w:val="22"/>
        </w:rPr>
        <w:t xml:space="preserve"> dhe </w:t>
      </w:r>
      <w:r w:rsidR="00427312">
        <w:rPr>
          <w:sz w:val="22"/>
          <w:szCs w:val="22"/>
        </w:rPr>
        <w:t xml:space="preserve">    </w:t>
      </w:r>
      <w:r w:rsidR="007916C8">
        <w:rPr>
          <w:sz w:val="22"/>
          <w:szCs w:val="22"/>
        </w:rPr>
        <w:t>31 Dhjetor 20</w:t>
      </w:r>
      <w:r w:rsidR="00427312">
        <w:rPr>
          <w:sz w:val="22"/>
          <w:szCs w:val="22"/>
        </w:rPr>
        <w:t xml:space="preserve">11 </w:t>
      </w:r>
      <w:r w:rsidR="009B581B" w:rsidRPr="00EB2DD9">
        <w:rPr>
          <w:sz w:val="22"/>
          <w:szCs w:val="22"/>
        </w:rPr>
        <w:t xml:space="preserve">  jan</w:t>
      </w:r>
      <w:r w:rsidR="005D12E7" w:rsidRPr="00EB2DD9">
        <w:rPr>
          <w:sz w:val="22"/>
          <w:szCs w:val="22"/>
        </w:rPr>
        <w:t>ë</w:t>
      </w:r>
      <w:r w:rsidR="00A90771" w:rsidRPr="00EB2DD9">
        <w:rPr>
          <w:sz w:val="22"/>
          <w:szCs w:val="22"/>
        </w:rPr>
        <w:t xml:space="preserve"> </w:t>
      </w:r>
      <w:r w:rsidR="009B581B" w:rsidRPr="00EB2DD9">
        <w:rPr>
          <w:sz w:val="22"/>
          <w:szCs w:val="22"/>
        </w:rPr>
        <w:t>si m</w:t>
      </w:r>
      <w:r w:rsidR="005D12E7" w:rsidRPr="00EB2DD9">
        <w:rPr>
          <w:sz w:val="22"/>
          <w:szCs w:val="22"/>
        </w:rPr>
        <w:t>ë</w:t>
      </w:r>
      <w:r w:rsidR="009B581B" w:rsidRPr="00EB2DD9">
        <w:rPr>
          <w:sz w:val="22"/>
          <w:szCs w:val="22"/>
        </w:rPr>
        <w:t xml:space="preserve"> posht</w:t>
      </w:r>
      <w:r w:rsidR="005D12E7" w:rsidRPr="00EB2DD9">
        <w:rPr>
          <w:sz w:val="22"/>
          <w:szCs w:val="22"/>
        </w:rPr>
        <w:t>ë</w:t>
      </w:r>
      <w:r w:rsidRPr="00EB2DD9">
        <w:rPr>
          <w:sz w:val="22"/>
          <w:szCs w:val="22"/>
        </w:rPr>
        <w:t>:</w:t>
      </w:r>
    </w:p>
    <w:p w:rsidR="00C74B61" w:rsidRDefault="00C74B61" w:rsidP="001B6FCD">
      <w:pPr>
        <w:ind w:left="360"/>
        <w:jc w:val="both"/>
        <w:rPr>
          <w:sz w:val="22"/>
          <w:szCs w:val="22"/>
        </w:rPr>
      </w:pPr>
    </w:p>
    <w:p w:rsidR="0088349B" w:rsidRDefault="0088349B" w:rsidP="00BF41E6">
      <w:pPr>
        <w:jc w:val="both"/>
        <w:rPr>
          <w:sz w:val="22"/>
          <w:szCs w:val="22"/>
        </w:rPr>
      </w:pPr>
    </w:p>
    <w:p w:rsidR="00BF41E6" w:rsidRDefault="00BF41E6" w:rsidP="00BF41E6">
      <w:pPr>
        <w:jc w:val="both"/>
        <w:rPr>
          <w:sz w:val="22"/>
          <w:szCs w:val="22"/>
        </w:rPr>
      </w:pPr>
    </w:p>
    <w:p w:rsidR="00BF41E6" w:rsidRPr="00EB2DD9" w:rsidRDefault="00BF41E6" w:rsidP="00BF41E6">
      <w:pPr>
        <w:jc w:val="center"/>
        <w:rPr>
          <w:sz w:val="22"/>
          <w:szCs w:val="22"/>
        </w:rPr>
      </w:pPr>
    </w:p>
    <w:p w:rsidR="00E65D50" w:rsidRDefault="00E65D50" w:rsidP="004A4251">
      <w:pPr>
        <w:ind w:left="360"/>
        <w:jc w:val="both"/>
        <w:rPr>
          <w:sz w:val="22"/>
          <w:szCs w:val="22"/>
        </w:rPr>
      </w:pPr>
    </w:p>
    <w:tbl>
      <w:tblPr>
        <w:tblpPr w:leftFromText="180" w:rightFromText="180" w:horzAnchor="margin" w:tblpY="2715"/>
        <w:tblW w:w="18934" w:type="dxa"/>
        <w:tblLook w:val="04A0"/>
      </w:tblPr>
      <w:tblGrid>
        <w:gridCol w:w="12565"/>
        <w:gridCol w:w="2310"/>
        <w:gridCol w:w="640"/>
        <w:gridCol w:w="1600"/>
        <w:gridCol w:w="1860"/>
        <w:gridCol w:w="1256"/>
      </w:tblGrid>
      <w:tr w:rsidR="00BF41E6" w:rsidRPr="00E65D50" w:rsidTr="00272471">
        <w:trPr>
          <w:trHeight w:val="255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 w:rsidRPr="00E65D50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Printuar nga Alpha Platinium     www.imb.al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1E6" w:rsidRPr="00E65D50" w:rsidTr="00272471">
        <w:trPr>
          <w:trHeight w:val="255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D679FC" w:rsidP="00BF41E6">
            <w:pPr>
              <w:rPr>
                <w:rFonts w:ascii="Arial" w:hAnsi="Arial" w:cs="Arial"/>
                <w:sz w:val="20"/>
                <w:szCs w:val="20"/>
              </w:rPr>
            </w:pPr>
            <w:r w:rsidRPr="00EB2DD9">
              <w:rPr>
                <w:sz w:val="22"/>
                <w:szCs w:val="22"/>
              </w:rPr>
              <w:object w:dxaOrig="12361" w:dyaOrig="4067">
                <v:shape id="_x0000_i1027" type="#_x0000_t75" style="width:617.35pt;height:203.15pt" o:ole="">
                  <v:imagedata r:id="rId14" o:title=""/>
                </v:shape>
                <o:OLEObject Type="Embed" ProgID="Excel.Sheet.8" ShapeID="_x0000_i1027" DrawAspect="Content" ObjectID="_1700743855" r:id="rId15"/>
              </w:objec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1E6" w:rsidRPr="00E65D50" w:rsidTr="00272471">
        <w:trPr>
          <w:trHeight w:val="255"/>
        </w:trPr>
        <w:tc>
          <w:tcPr>
            <w:tcW w:w="1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1E6" w:rsidRPr="00E65D50" w:rsidTr="00272471">
        <w:trPr>
          <w:trHeight w:val="255"/>
        </w:trPr>
        <w:tc>
          <w:tcPr>
            <w:tcW w:w="11268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71" w:rsidRPr="00D66434" w:rsidRDefault="00272471" w:rsidP="00272471">
            <w:pPr>
              <w:jc w:val="both"/>
              <w:rPr>
                <w:sz w:val="22"/>
                <w:szCs w:val="22"/>
                <w:lang w:val="es-ES"/>
              </w:rPr>
            </w:pPr>
            <w:r w:rsidRPr="00EB2DD9">
              <w:rPr>
                <w:sz w:val="22"/>
                <w:szCs w:val="22"/>
              </w:rPr>
              <w:t>Gjendjet e llogarive  të likujditeteve të paraqitura në pasqyrat financiare janë te njëjta me të dhënat e kon</w:t>
            </w:r>
            <w:r>
              <w:rPr>
                <w:sz w:val="22"/>
                <w:szCs w:val="22"/>
              </w:rPr>
              <w:t>tabilitetit</w:t>
            </w:r>
            <w:r w:rsidRPr="00EB2DD9">
              <w:rPr>
                <w:sz w:val="22"/>
                <w:szCs w:val="22"/>
              </w:rPr>
              <w:t xml:space="preserve"> rrjedhës dhe konfirmohen me nxjerrjet e llogarive bankare dhe inventaret  fizike të monedhave</w:t>
            </w:r>
          </w:p>
          <w:p w:rsidR="00272471" w:rsidRPr="00D66434" w:rsidRDefault="00272471" w:rsidP="00272471">
            <w:pPr>
              <w:ind w:left="360"/>
              <w:jc w:val="both"/>
              <w:rPr>
                <w:sz w:val="22"/>
                <w:szCs w:val="22"/>
                <w:lang w:val="es-ES"/>
              </w:rPr>
            </w:pPr>
            <w:r w:rsidRPr="00D66434">
              <w:rPr>
                <w:sz w:val="22"/>
                <w:szCs w:val="22"/>
                <w:lang w:val="es-ES"/>
              </w:rPr>
              <w:t xml:space="preserve">Tepricat  e shprehura  në monedhë të huaj, janë konvertuar  në lekë  duke përdorur kursin e këmbimit të fundit te ushtrimit te bankës </w:t>
            </w:r>
            <w:r>
              <w:rPr>
                <w:sz w:val="22"/>
                <w:szCs w:val="22"/>
                <w:lang w:val="es-ES"/>
              </w:rPr>
              <w:t>se Shqiperise</w:t>
            </w:r>
            <w:r w:rsidRPr="00D66434">
              <w:rPr>
                <w:sz w:val="22"/>
                <w:szCs w:val="22"/>
                <w:lang w:val="es-ES"/>
              </w:rPr>
              <w:t>.</w:t>
            </w:r>
          </w:p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1E6" w:rsidRPr="00E65D50" w:rsidTr="00272471">
        <w:trPr>
          <w:trHeight w:val="255"/>
        </w:trPr>
        <w:tc>
          <w:tcPr>
            <w:tcW w:w="112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1E6" w:rsidRPr="00E65D50" w:rsidTr="00272471">
        <w:trPr>
          <w:trHeight w:val="300"/>
        </w:trPr>
        <w:tc>
          <w:tcPr>
            <w:tcW w:w="112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F41E6" w:rsidRPr="00E65D50" w:rsidTr="00272471">
        <w:trPr>
          <w:trHeight w:val="300"/>
        </w:trPr>
        <w:tc>
          <w:tcPr>
            <w:tcW w:w="112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F41E6" w:rsidRPr="00E65D50" w:rsidTr="00272471">
        <w:trPr>
          <w:trHeight w:val="300"/>
        </w:trPr>
        <w:tc>
          <w:tcPr>
            <w:tcW w:w="112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F41E6" w:rsidRPr="00E65D50" w:rsidTr="00272471">
        <w:trPr>
          <w:trHeight w:val="270"/>
        </w:trPr>
        <w:tc>
          <w:tcPr>
            <w:tcW w:w="11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1E6" w:rsidRPr="00E65D50" w:rsidTr="00272471">
        <w:trPr>
          <w:trHeight w:val="375"/>
        </w:trPr>
        <w:tc>
          <w:tcPr>
            <w:tcW w:w="11268" w:type="dxa"/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41E6" w:rsidRPr="00E65D50" w:rsidTr="00272471">
        <w:trPr>
          <w:trHeight w:val="255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1E6" w:rsidRPr="00E65D50" w:rsidTr="00272471">
        <w:trPr>
          <w:trHeight w:val="255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  <w:r w:rsidRPr="00E65D50">
              <w:rPr>
                <w:rFonts w:ascii="Arial" w:hAnsi="Arial" w:cs="Arial"/>
                <w:sz w:val="20"/>
                <w:szCs w:val="20"/>
              </w:rPr>
              <w:t>kontrolli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5D50">
              <w:rPr>
                <w:rFonts w:ascii="Arial" w:hAnsi="Arial" w:cs="Arial"/>
                <w:sz w:val="20"/>
                <w:szCs w:val="20"/>
              </w:rPr>
              <w:t>-54,411,442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E6" w:rsidRPr="00E65D50" w:rsidRDefault="00BF41E6" w:rsidP="00BF4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3444" w:rsidRDefault="00693444" w:rsidP="001B6FCD">
      <w:pPr>
        <w:tabs>
          <w:tab w:val="left" w:pos="885"/>
        </w:tabs>
        <w:jc w:val="both"/>
        <w:rPr>
          <w:b/>
          <w:sz w:val="22"/>
          <w:szCs w:val="22"/>
          <w:u w:val="single"/>
          <w:lang w:val="es-ES"/>
        </w:rPr>
      </w:pPr>
    </w:p>
    <w:p w:rsidR="00393138" w:rsidRDefault="00393138" w:rsidP="001B6FCD">
      <w:pPr>
        <w:tabs>
          <w:tab w:val="left" w:pos="885"/>
        </w:tabs>
        <w:jc w:val="both"/>
        <w:rPr>
          <w:b/>
          <w:sz w:val="22"/>
          <w:szCs w:val="22"/>
          <w:u w:val="single"/>
          <w:lang w:val="es-ES"/>
        </w:rPr>
      </w:pPr>
    </w:p>
    <w:p w:rsidR="00393138" w:rsidRDefault="00393138" w:rsidP="001B6FCD">
      <w:pPr>
        <w:tabs>
          <w:tab w:val="left" w:pos="885"/>
        </w:tabs>
        <w:jc w:val="both"/>
        <w:rPr>
          <w:b/>
          <w:sz w:val="22"/>
          <w:szCs w:val="22"/>
          <w:u w:val="single"/>
          <w:lang w:val="es-ES"/>
        </w:rPr>
      </w:pPr>
    </w:p>
    <w:p w:rsidR="00393138" w:rsidRDefault="00393138" w:rsidP="001B6FCD">
      <w:pPr>
        <w:tabs>
          <w:tab w:val="left" w:pos="885"/>
        </w:tabs>
        <w:jc w:val="both"/>
        <w:rPr>
          <w:b/>
          <w:sz w:val="22"/>
          <w:szCs w:val="22"/>
          <w:u w:val="single"/>
          <w:lang w:val="es-ES"/>
        </w:rPr>
      </w:pPr>
    </w:p>
    <w:p w:rsidR="00393138" w:rsidRDefault="00393138" w:rsidP="001B6FCD">
      <w:pPr>
        <w:tabs>
          <w:tab w:val="left" w:pos="885"/>
        </w:tabs>
        <w:jc w:val="both"/>
        <w:rPr>
          <w:b/>
          <w:sz w:val="22"/>
          <w:szCs w:val="22"/>
          <w:u w:val="single"/>
          <w:lang w:val="es-ES"/>
        </w:rPr>
      </w:pPr>
    </w:p>
    <w:p w:rsidR="00393138" w:rsidRDefault="00393138" w:rsidP="001B6FCD">
      <w:pPr>
        <w:tabs>
          <w:tab w:val="left" w:pos="885"/>
        </w:tabs>
        <w:jc w:val="both"/>
        <w:rPr>
          <w:b/>
          <w:sz w:val="22"/>
          <w:szCs w:val="22"/>
          <w:u w:val="single"/>
          <w:lang w:val="es-ES"/>
        </w:rPr>
      </w:pPr>
    </w:p>
    <w:p w:rsidR="00393138" w:rsidRPr="00D66434" w:rsidRDefault="00393138" w:rsidP="001B6FCD">
      <w:pPr>
        <w:tabs>
          <w:tab w:val="left" w:pos="885"/>
        </w:tabs>
        <w:jc w:val="both"/>
        <w:rPr>
          <w:b/>
          <w:sz w:val="22"/>
          <w:szCs w:val="22"/>
          <w:u w:val="single"/>
          <w:lang w:val="es-ES"/>
        </w:rPr>
      </w:pPr>
    </w:p>
    <w:p w:rsidR="00BB0D7E" w:rsidRPr="00EB2DD9" w:rsidRDefault="00E2507D" w:rsidP="001B6FCD">
      <w:pPr>
        <w:numPr>
          <w:ilvl w:val="0"/>
          <w:numId w:val="1"/>
        </w:numPr>
        <w:jc w:val="both"/>
        <w:rPr>
          <w:b/>
          <w:sz w:val="22"/>
          <w:szCs w:val="22"/>
          <w:u w:val="single"/>
          <w:lang w:val="sv-SE"/>
        </w:rPr>
      </w:pPr>
      <w:r w:rsidRPr="00EB2DD9">
        <w:rPr>
          <w:b/>
          <w:sz w:val="22"/>
          <w:szCs w:val="22"/>
          <w:u w:val="single"/>
          <w:lang w:val="sv-SE"/>
        </w:rPr>
        <w:lastRenderedPageBreak/>
        <w:t>Aktive të tjera financiare afatshkurtra</w:t>
      </w:r>
    </w:p>
    <w:p w:rsidR="00C26E5B" w:rsidRPr="00EB2DD9" w:rsidRDefault="00C26E5B" w:rsidP="001B6FCD">
      <w:pPr>
        <w:ind w:left="360"/>
        <w:jc w:val="both"/>
        <w:rPr>
          <w:b/>
          <w:sz w:val="22"/>
          <w:szCs w:val="22"/>
          <w:lang w:val="sq-AL"/>
        </w:rPr>
      </w:pPr>
    </w:p>
    <w:p w:rsidR="00C26E5B" w:rsidRPr="00EB2DD9" w:rsidRDefault="00C26E5B" w:rsidP="001B6FCD">
      <w:pPr>
        <w:ind w:left="360"/>
        <w:jc w:val="both"/>
        <w:rPr>
          <w:sz w:val="22"/>
          <w:szCs w:val="22"/>
          <w:lang w:val="sq-AL"/>
        </w:rPr>
      </w:pPr>
      <w:r w:rsidRPr="00EB2DD9">
        <w:rPr>
          <w:sz w:val="22"/>
          <w:szCs w:val="22"/>
          <w:lang w:val="sq-AL"/>
        </w:rPr>
        <w:t>K</w:t>
      </w:r>
      <w:r w:rsidR="00AD5E02" w:rsidRPr="00EB2DD9">
        <w:rPr>
          <w:sz w:val="22"/>
          <w:szCs w:val="22"/>
          <w:lang w:val="sq-AL"/>
        </w:rPr>
        <w:t>ë</w:t>
      </w:r>
      <w:r w:rsidRPr="00EB2DD9">
        <w:rPr>
          <w:sz w:val="22"/>
          <w:szCs w:val="22"/>
          <w:lang w:val="sq-AL"/>
        </w:rPr>
        <w:t xml:space="preserve">rkesat </w:t>
      </w:r>
      <w:r w:rsidR="00CA5253" w:rsidRPr="00EB2DD9">
        <w:rPr>
          <w:sz w:val="22"/>
          <w:szCs w:val="22"/>
          <w:lang w:val="sq-AL"/>
        </w:rPr>
        <w:t>e ark</w:t>
      </w:r>
      <w:r w:rsidR="00AD5E02" w:rsidRPr="00EB2DD9">
        <w:rPr>
          <w:sz w:val="22"/>
          <w:szCs w:val="22"/>
          <w:lang w:val="sq-AL"/>
        </w:rPr>
        <w:t>ë</w:t>
      </w:r>
      <w:r w:rsidR="00CA5253" w:rsidRPr="00EB2DD9">
        <w:rPr>
          <w:sz w:val="22"/>
          <w:szCs w:val="22"/>
          <w:lang w:val="sq-AL"/>
        </w:rPr>
        <w:t>tueshme dhe aktive t</w:t>
      </w:r>
      <w:r w:rsidR="00AD5E02" w:rsidRPr="00EB2DD9">
        <w:rPr>
          <w:sz w:val="22"/>
          <w:szCs w:val="22"/>
          <w:lang w:val="sq-AL"/>
        </w:rPr>
        <w:t>ë</w:t>
      </w:r>
      <w:r w:rsidR="00CA5253" w:rsidRPr="00EB2DD9">
        <w:rPr>
          <w:sz w:val="22"/>
          <w:szCs w:val="22"/>
          <w:lang w:val="sq-AL"/>
        </w:rPr>
        <w:t xml:space="preserve"> tjera financiare</w:t>
      </w:r>
      <w:r w:rsidR="00BF2191" w:rsidRPr="00EB2DD9">
        <w:rPr>
          <w:sz w:val="22"/>
          <w:szCs w:val="22"/>
          <w:lang w:val="sq-AL"/>
        </w:rPr>
        <w:t>, n</w:t>
      </w:r>
      <w:r w:rsidR="00AD5E02" w:rsidRPr="00EB2DD9">
        <w:rPr>
          <w:sz w:val="22"/>
          <w:szCs w:val="22"/>
          <w:lang w:val="sq-AL"/>
        </w:rPr>
        <w:t>ë</w:t>
      </w:r>
      <w:r w:rsidR="00BF2191" w:rsidRPr="00EB2DD9">
        <w:rPr>
          <w:sz w:val="22"/>
          <w:szCs w:val="22"/>
          <w:lang w:val="sq-AL"/>
        </w:rPr>
        <w:t xml:space="preserve"> fillim dhe n</w:t>
      </w:r>
      <w:r w:rsidR="00AD5E02" w:rsidRPr="00EB2DD9">
        <w:rPr>
          <w:sz w:val="22"/>
          <w:szCs w:val="22"/>
          <w:lang w:val="sq-AL"/>
        </w:rPr>
        <w:t>ë</w:t>
      </w:r>
      <w:r w:rsidR="00BF2191" w:rsidRPr="00EB2DD9">
        <w:rPr>
          <w:sz w:val="22"/>
          <w:szCs w:val="22"/>
          <w:lang w:val="sq-AL"/>
        </w:rPr>
        <w:t xml:space="preserve"> fund t</w:t>
      </w:r>
      <w:r w:rsidR="00AD5E02" w:rsidRPr="00EB2DD9">
        <w:rPr>
          <w:sz w:val="22"/>
          <w:szCs w:val="22"/>
          <w:lang w:val="sq-AL"/>
        </w:rPr>
        <w:t>ë</w:t>
      </w:r>
      <w:r w:rsidR="00BF2191" w:rsidRPr="00EB2DD9">
        <w:rPr>
          <w:sz w:val="22"/>
          <w:szCs w:val="22"/>
          <w:lang w:val="sq-AL"/>
        </w:rPr>
        <w:t xml:space="preserve"> ushtrimit kontab</w:t>
      </w:r>
      <w:r w:rsidR="00AD5E02" w:rsidRPr="00EB2DD9">
        <w:rPr>
          <w:sz w:val="22"/>
          <w:szCs w:val="22"/>
          <w:lang w:val="sq-AL"/>
        </w:rPr>
        <w:t>ë</w:t>
      </w:r>
      <w:r w:rsidR="0000724B">
        <w:rPr>
          <w:sz w:val="22"/>
          <w:szCs w:val="22"/>
          <w:lang w:val="sq-AL"/>
        </w:rPr>
        <w:t>l 201</w:t>
      </w:r>
      <w:r w:rsidR="00622473">
        <w:rPr>
          <w:sz w:val="22"/>
          <w:szCs w:val="22"/>
          <w:lang w:val="sq-AL"/>
        </w:rPr>
        <w:t>2</w:t>
      </w:r>
      <w:r w:rsidRPr="00EB2DD9">
        <w:rPr>
          <w:sz w:val="22"/>
          <w:szCs w:val="22"/>
          <w:lang w:val="sq-AL"/>
        </w:rPr>
        <w:t xml:space="preserve"> deklarohen  si vijon:</w:t>
      </w:r>
    </w:p>
    <w:p w:rsidR="00E863B9" w:rsidRDefault="00E863B9" w:rsidP="001B6FCD">
      <w:pPr>
        <w:ind w:left="360" w:right="-81"/>
        <w:jc w:val="both"/>
        <w:rPr>
          <w:sz w:val="22"/>
          <w:szCs w:val="22"/>
          <w:lang w:val="sq-AL"/>
        </w:rPr>
      </w:pPr>
    </w:p>
    <w:p w:rsidR="00E863B9" w:rsidRDefault="00FE7B17" w:rsidP="00272471">
      <w:pPr>
        <w:ind w:left="360" w:right="-81"/>
        <w:jc w:val="both"/>
        <w:rPr>
          <w:sz w:val="22"/>
          <w:szCs w:val="22"/>
          <w:lang w:val="sq-AL"/>
        </w:rPr>
      </w:pPr>
      <w:r w:rsidRPr="00EB2DD9">
        <w:rPr>
          <w:sz w:val="22"/>
          <w:szCs w:val="22"/>
          <w:lang w:val="sq-AL"/>
        </w:rPr>
        <w:object w:dxaOrig="8472" w:dyaOrig="2922">
          <v:shape id="_x0000_i1028" type="#_x0000_t75" style="width:479.75pt;height:165.4pt" o:ole="">
            <v:imagedata r:id="rId16" o:title=""/>
          </v:shape>
          <o:OLEObject Type="Embed" ProgID="Excel.Sheet.8" ShapeID="_x0000_i1028" DrawAspect="Content" ObjectID="_1700743856" r:id="rId17"/>
        </w:object>
      </w:r>
    </w:p>
    <w:p w:rsidR="00E863B9" w:rsidRPr="00EB2DD9" w:rsidRDefault="00E863B9" w:rsidP="00E863B9">
      <w:pPr>
        <w:ind w:left="360" w:right="-81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Me analitike mund te paraqiten si me poshte</w:t>
      </w:r>
    </w:p>
    <w:tbl>
      <w:tblPr>
        <w:tblW w:w="8031" w:type="dxa"/>
        <w:tblInd w:w="472" w:type="dxa"/>
        <w:tblLook w:val="04A0"/>
      </w:tblPr>
      <w:tblGrid>
        <w:gridCol w:w="328"/>
        <w:gridCol w:w="333"/>
        <w:gridCol w:w="4534"/>
        <w:gridCol w:w="788"/>
        <w:gridCol w:w="2048"/>
      </w:tblGrid>
      <w:tr w:rsidR="00E863B9" w:rsidRPr="00E863B9" w:rsidTr="00865A38">
        <w:trPr>
          <w:trHeight w:val="342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3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3B9">
              <w:rPr>
                <w:rFonts w:ascii="Arial" w:hAnsi="Arial" w:cs="Arial"/>
                <w:b/>
                <w:bCs/>
                <w:sz w:val="20"/>
                <w:szCs w:val="20"/>
              </w:rPr>
              <w:t>Aktive te tjera financiare afatshkurtra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3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765,316,781    </w:t>
            </w:r>
          </w:p>
        </w:tc>
      </w:tr>
      <w:tr w:rsidR="00E863B9" w:rsidRPr="00E863B9" w:rsidTr="00865A38">
        <w:trPr>
          <w:trHeight w:val="34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63B9">
              <w:rPr>
                <w:rFonts w:ascii="Arial" w:hAnsi="Arial" w:cs="Arial"/>
                <w:i/>
                <w:iCs/>
                <w:sz w:val="20"/>
                <w:szCs w:val="20"/>
              </w:rPr>
              <w:t>Kliente per mallra,produkte e sherbime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 xml:space="preserve">           749,916,175    </w:t>
            </w:r>
          </w:p>
        </w:tc>
      </w:tr>
      <w:tr w:rsidR="00E863B9" w:rsidRPr="00E863B9" w:rsidTr="00865A38">
        <w:trPr>
          <w:trHeight w:val="34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63B9">
              <w:rPr>
                <w:rFonts w:ascii="Arial" w:hAnsi="Arial" w:cs="Arial"/>
                <w:i/>
                <w:iCs/>
                <w:sz w:val="20"/>
                <w:szCs w:val="20"/>
              </w:rPr>
              <w:t>Debitore,Kreditore te tjere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 xml:space="preserve">            13,661,202    </w:t>
            </w:r>
          </w:p>
        </w:tc>
      </w:tr>
      <w:tr w:rsidR="00E863B9" w:rsidRPr="00E863B9" w:rsidTr="00865A38">
        <w:trPr>
          <w:trHeight w:val="34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63B9">
              <w:rPr>
                <w:rFonts w:ascii="Arial" w:hAnsi="Arial" w:cs="Arial"/>
                <w:i/>
                <w:iCs/>
                <w:sz w:val="20"/>
                <w:szCs w:val="20"/>
              </w:rPr>
              <w:t>Tatim mbi fitimin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3B9" w:rsidRPr="00E863B9" w:rsidRDefault="00E863B9" w:rsidP="00E863B9">
            <w:pPr>
              <w:rPr>
                <w:rFonts w:ascii="Arial" w:hAnsi="Arial" w:cs="Arial"/>
                <w:sz w:val="20"/>
                <w:szCs w:val="20"/>
              </w:rPr>
            </w:pPr>
            <w:r w:rsidRPr="00E863B9">
              <w:rPr>
                <w:rFonts w:ascii="Arial" w:hAnsi="Arial" w:cs="Arial"/>
                <w:sz w:val="20"/>
                <w:szCs w:val="20"/>
              </w:rPr>
              <w:t xml:space="preserve">              1,739,404    </w:t>
            </w:r>
          </w:p>
        </w:tc>
      </w:tr>
    </w:tbl>
    <w:p w:rsidR="00C26E5B" w:rsidRPr="00EB2DD9" w:rsidRDefault="00C26E5B" w:rsidP="001B6FCD">
      <w:pPr>
        <w:ind w:left="360" w:right="-81"/>
        <w:jc w:val="both"/>
        <w:rPr>
          <w:sz w:val="22"/>
          <w:szCs w:val="22"/>
          <w:lang w:val="sq-AL"/>
        </w:rPr>
      </w:pPr>
    </w:p>
    <w:p w:rsidR="00610EE5" w:rsidRDefault="00610EE5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sq-AL"/>
        </w:rPr>
      </w:pPr>
      <w:r w:rsidRPr="00EB2DD9">
        <w:rPr>
          <w:sz w:val="22"/>
          <w:szCs w:val="22"/>
          <w:lang w:val="sq-AL"/>
        </w:rPr>
        <w:t>N</w:t>
      </w:r>
      <w:r w:rsidR="00AD5E02" w:rsidRPr="00EB2DD9">
        <w:rPr>
          <w:sz w:val="22"/>
          <w:szCs w:val="22"/>
          <w:lang w:val="sq-AL"/>
        </w:rPr>
        <w:t>ë</w:t>
      </w:r>
      <w:r w:rsidR="00951077">
        <w:rPr>
          <w:sz w:val="22"/>
          <w:szCs w:val="22"/>
          <w:lang w:val="sq-AL"/>
        </w:rPr>
        <w:t xml:space="preserve"> “Llogari</w:t>
      </w:r>
      <w:r w:rsidR="00075247">
        <w:rPr>
          <w:sz w:val="22"/>
          <w:szCs w:val="22"/>
          <w:lang w:val="sq-AL"/>
        </w:rPr>
        <w:t>ne</w:t>
      </w:r>
      <w:r w:rsidR="00951077">
        <w:rPr>
          <w:sz w:val="22"/>
          <w:szCs w:val="22"/>
          <w:lang w:val="sq-AL"/>
        </w:rPr>
        <w:t xml:space="preserve"> / </w:t>
      </w:r>
      <w:r w:rsidR="00075247">
        <w:rPr>
          <w:sz w:val="22"/>
          <w:szCs w:val="22"/>
          <w:lang w:val="sq-AL"/>
        </w:rPr>
        <w:t>“</w:t>
      </w:r>
      <w:r w:rsidR="00951077">
        <w:rPr>
          <w:sz w:val="22"/>
          <w:szCs w:val="22"/>
          <w:lang w:val="sq-AL"/>
        </w:rPr>
        <w:t xml:space="preserve">Kliente per produkte e sherbime </w:t>
      </w:r>
      <w:r w:rsidR="00856864" w:rsidRPr="00EB2DD9">
        <w:rPr>
          <w:sz w:val="22"/>
          <w:szCs w:val="22"/>
          <w:lang w:val="sq-AL"/>
        </w:rPr>
        <w:t>”</w:t>
      </w:r>
      <w:r w:rsidRPr="00EB2DD9">
        <w:rPr>
          <w:sz w:val="22"/>
          <w:szCs w:val="22"/>
          <w:lang w:val="sq-AL"/>
        </w:rPr>
        <w:t xml:space="preserve"> jane pasqyruar</w:t>
      </w:r>
      <w:r w:rsidR="001F6C7A" w:rsidRPr="00EB2DD9">
        <w:rPr>
          <w:sz w:val="22"/>
          <w:szCs w:val="22"/>
          <w:lang w:val="sq-AL"/>
        </w:rPr>
        <w:t xml:space="preserve"> vlerat e akumuluara te  situacioneve te ndertimit (faturave) te apartamenteve qe shoqeria </w:t>
      </w:r>
      <w:r w:rsidR="009B4CEF">
        <w:rPr>
          <w:sz w:val="22"/>
          <w:szCs w:val="22"/>
          <w:lang w:val="sq-AL"/>
        </w:rPr>
        <w:t xml:space="preserve"> ka ndertuar </w:t>
      </w:r>
      <w:r w:rsidR="001F6C7A" w:rsidRPr="00EB2DD9">
        <w:rPr>
          <w:sz w:val="22"/>
          <w:szCs w:val="22"/>
          <w:lang w:val="sq-AL"/>
        </w:rPr>
        <w:t>per shitje me fondet e veta</w:t>
      </w:r>
      <w:r w:rsidR="00856864" w:rsidRPr="00EB2DD9">
        <w:rPr>
          <w:sz w:val="22"/>
          <w:szCs w:val="22"/>
          <w:lang w:val="sq-AL"/>
        </w:rPr>
        <w:t>.</w:t>
      </w:r>
    </w:p>
    <w:p w:rsidR="004B3159" w:rsidRPr="00EB2DD9" w:rsidRDefault="004B3159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sq-AL"/>
        </w:rPr>
      </w:pPr>
    </w:p>
    <w:p w:rsidR="00DE5CC6" w:rsidRDefault="008305AA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sq-AL"/>
        </w:rPr>
      </w:pPr>
      <w:r w:rsidRPr="00EB2DD9">
        <w:rPr>
          <w:sz w:val="22"/>
          <w:szCs w:val="22"/>
          <w:lang w:val="sq-AL"/>
        </w:rPr>
        <w:t xml:space="preserve">Shumat e paraqitura </w:t>
      </w:r>
      <w:r w:rsidRPr="00E77E96">
        <w:rPr>
          <w:sz w:val="22"/>
          <w:szCs w:val="22"/>
          <w:lang w:val="sq-AL"/>
        </w:rPr>
        <w:t xml:space="preserve">ne </w:t>
      </w:r>
      <w:r w:rsidR="00C2554C" w:rsidRPr="00E77E96">
        <w:rPr>
          <w:sz w:val="22"/>
          <w:szCs w:val="22"/>
          <w:lang w:val="sq-AL"/>
        </w:rPr>
        <w:t>“Llogari / Kërkesa të tjera të arkëtueshme”</w:t>
      </w:r>
      <w:r w:rsidR="00A81017" w:rsidRPr="00E77E96">
        <w:rPr>
          <w:sz w:val="22"/>
          <w:szCs w:val="22"/>
          <w:lang w:val="sq-AL"/>
        </w:rPr>
        <w:t xml:space="preserve"> </w:t>
      </w:r>
      <w:r w:rsidR="009B4CEF" w:rsidRPr="00E77E96">
        <w:rPr>
          <w:sz w:val="22"/>
          <w:szCs w:val="22"/>
          <w:lang w:val="sq-AL"/>
        </w:rPr>
        <w:t>eshte</w:t>
      </w:r>
      <w:r w:rsidR="004D42D1" w:rsidRPr="00E77E96">
        <w:rPr>
          <w:sz w:val="22"/>
          <w:szCs w:val="22"/>
          <w:lang w:val="sq-AL"/>
        </w:rPr>
        <w:t xml:space="preserve"> pasqyruar vlera e </w:t>
      </w:r>
    </w:p>
    <w:p w:rsidR="004D42D1" w:rsidRDefault="00611BEE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</w:t>
      </w:r>
      <w:r w:rsidR="00070B39">
        <w:rPr>
          <w:sz w:val="22"/>
          <w:szCs w:val="22"/>
          <w:lang w:val="sq-AL"/>
        </w:rPr>
        <w:t>tatim fitimi i paguar nga ana e firmes</w:t>
      </w:r>
      <w:r w:rsidR="00865A38">
        <w:rPr>
          <w:sz w:val="22"/>
          <w:szCs w:val="22"/>
          <w:lang w:val="sq-AL"/>
        </w:rPr>
        <w:t>(Si parapagime te tatim mbi fitim),</w:t>
      </w:r>
      <w:r w:rsidR="00070B39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ne shumen </w:t>
      </w:r>
      <w:r w:rsidRPr="00DE5CC6">
        <w:rPr>
          <w:b/>
          <w:sz w:val="22"/>
          <w:szCs w:val="22"/>
          <w:lang w:val="sq-AL"/>
        </w:rPr>
        <w:t xml:space="preserve">prej </w:t>
      </w:r>
      <w:r w:rsidR="00E77E96" w:rsidRPr="00DE5CC6">
        <w:rPr>
          <w:b/>
          <w:sz w:val="22"/>
          <w:szCs w:val="22"/>
          <w:lang w:val="sq-AL"/>
        </w:rPr>
        <w:t xml:space="preserve"> 1.</w:t>
      </w:r>
      <w:r w:rsidR="00DE5CC6" w:rsidRPr="00DE5CC6">
        <w:rPr>
          <w:b/>
          <w:sz w:val="22"/>
          <w:szCs w:val="22"/>
          <w:lang w:val="sq-AL"/>
        </w:rPr>
        <w:t>739.404</w:t>
      </w:r>
      <w:r w:rsidR="00DE5CC6">
        <w:rPr>
          <w:sz w:val="22"/>
          <w:szCs w:val="22"/>
          <w:lang w:val="sq-AL"/>
        </w:rPr>
        <w:t xml:space="preserve"> </w:t>
      </w:r>
      <w:r w:rsidR="00E77E96">
        <w:rPr>
          <w:sz w:val="22"/>
          <w:szCs w:val="22"/>
          <w:lang w:val="sq-AL"/>
        </w:rPr>
        <w:t xml:space="preserve"> </w:t>
      </w:r>
      <w:r w:rsidR="004A4251">
        <w:rPr>
          <w:sz w:val="22"/>
          <w:szCs w:val="22"/>
          <w:lang w:val="sq-AL"/>
        </w:rPr>
        <w:t xml:space="preserve">leke,si dhe vlera debitore dhe kreditore te tjere ne shumen </w:t>
      </w:r>
      <w:r w:rsidR="009128AC">
        <w:rPr>
          <w:sz w:val="22"/>
          <w:szCs w:val="22"/>
          <w:lang w:val="sq-AL"/>
        </w:rPr>
        <w:t xml:space="preserve">13.661.202 </w:t>
      </w:r>
      <w:r w:rsidR="004A4251">
        <w:rPr>
          <w:sz w:val="22"/>
          <w:szCs w:val="22"/>
          <w:lang w:val="sq-AL"/>
        </w:rPr>
        <w:t>leke.</w:t>
      </w:r>
    </w:p>
    <w:p w:rsidR="00272471" w:rsidRPr="00EB2DD9" w:rsidRDefault="00272471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Kjo shume nuk eshte kerkuar per rimbursim ,per tu mbajtur si rezerve ne tatimin qe do paguhet </w:t>
      </w:r>
      <w:r w:rsidR="00C52687">
        <w:rPr>
          <w:sz w:val="22"/>
          <w:szCs w:val="22"/>
          <w:lang w:val="sq-AL"/>
        </w:rPr>
        <w:t xml:space="preserve"> si rrjedhoje e</w:t>
      </w:r>
      <w:r>
        <w:rPr>
          <w:sz w:val="22"/>
          <w:szCs w:val="22"/>
          <w:lang w:val="sq-AL"/>
        </w:rPr>
        <w:t xml:space="preserve"> shitjeve te apartamenteve ne vazhden e hipotekimit te tyre.</w:t>
      </w:r>
    </w:p>
    <w:p w:rsidR="00027086" w:rsidRDefault="00027086" w:rsidP="00AF528F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sq-AL"/>
        </w:rPr>
      </w:pPr>
    </w:p>
    <w:p w:rsidR="00832E85" w:rsidRPr="00EB2DD9" w:rsidRDefault="004D42D1" w:rsidP="009128AC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sq-AL"/>
        </w:rPr>
      </w:pPr>
      <w:r w:rsidRPr="00EB2DD9">
        <w:rPr>
          <w:sz w:val="22"/>
          <w:szCs w:val="22"/>
          <w:lang w:val="sq-AL"/>
        </w:rPr>
        <w:t xml:space="preserve">“Shpenzimet e shtyra” jane pasqyruar interesat e kredive bankare </w:t>
      </w:r>
      <w:r w:rsidR="00C52687">
        <w:rPr>
          <w:sz w:val="22"/>
          <w:szCs w:val="22"/>
          <w:lang w:val="sq-AL"/>
        </w:rPr>
        <w:t>.Shuma</w:t>
      </w:r>
      <w:r w:rsidR="00665700">
        <w:rPr>
          <w:sz w:val="22"/>
          <w:szCs w:val="22"/>
          <w:lang w:val="sq-AL"/>
        </w:rPr>
        <w:t xml:space="preserve"> prej </w:t>
      </w:r>
      <w:r w:rsidR="00C52687">
        <w:rPr>
          <w:sz w:val="22"/>
          <w:szCs w:val="22"/>
          <w:lang w:val="sq-AL"/>
        </w:rPr>
        <w:t>12.112.833 leke  ndahet ne ;</w:t>
      </w:r>
      <w:r w:rsidR="009128AC">
        <w:rPr>
          <w:sz w:val="22"/>
          <w:szCs w:val="22"/>
          <w:lang w:val="sq-AL"/>
        </w:rPr>
        <w:t xml:space="preserve"> 5.264.673 leke ,</w:t>
      </w:r>
      <w:r w:rsidR="00693804">
        <w:rPr>
          <w:sz w:val="22"/>
          <w:szCs w:val="22"/>
          <w:lang w:val="sq-AL"/>
        </w:rPr>
        <w:t xml:space="preserve"> vitit 2010</w:t>
      </w:r>
      <w:r w:rsidR="00611BEE">
        <w:rPr>
          <w:sz w:val="22"/>
          <w:szCs w:val="22"/>
          <w:lang w:val="sq-AL"/>
        </w:rPr>
        <w:t xml:space="preserve"> </w:t>
      </w:r>
      <w:r w:rsidR="009128AC">
        <w:rPr>
          <w:sz w:val="22"/>
          <w:szCs w:val="22"/>
          <w:lang w:val="sq-AL"/>
        </w:rPr>
        <w:t xml:space="preserve"> </w:t>
      </w:r>
      <w:r w:rsidRPr="00EB2DD9">
        <w:rPr>
          <w:sz w:val="22"/>
          <w:szCs w:val="22"/>
          <w:lang w:val="sq-AL"/>
        </w:rPr>
        <w:t>te cilat nuk kane kaluar si shpenzim ne periudhen ushtrimore</w:t>
      </w:r>
      <w:r w:rsidR="00865A38">
        <w:rPr>
          <w:sz w:val="22"/>
          <w:szCs w:val="22"/>
          <w:lang w:val="sq-AL"/>
        </w:rPr>
        <w:t>,ketu futen edhe vlera e projektit te pallatit si dhe shpenzime te tjera te ketij lloji</w:t>
      </w:r>
      <w:r w:rsidRPr="00EB2DD9">
        <w:rPr>
          <w:sz w:val="22"/>
          <w:szCs w:val="22"/>
          <w:lang w:val="sq-AL"/>
        </w:rPr>
        <w:t xml:space="preserve">, </w:t>
      </w:r>
      <w:r w:rsidR="00865A38">
        <w:rPr>
          <w:sz w:val="22"/>
          <w:szCs w:val="22"/>
          <w:lang w:val="sq-AL"/>
        </w:rPr>
        <w:t>te cilat</w:t>
      </w:r>
      <w:r w:rsidR="00BA25E7">
        <w:rPr>
          <w:sz w:val="22"/>
          <w:szCs w:val="22"/>
          <w:lang w:val="sq-AL"/>
        </w:rPr>
        <w:t>,</w:t>
      </w:r>
      <w:r w:rsidRPr="00EB2DD9">
        <w:rPr>
          <w:sz w:val="22"/>
          <w:szCs w:val="22"/>
          <w:lang w:val="sq-AL"/>
        </w:rPr>
        <w:t xml:space="preserve"> jane mbartur ne periudhen pasardhese per t’u mbuluar me </w:t>
      </w:r>
      <w:r w:rsidR="001C7EC2" w:rsidRPr="00EB2DD9">
        <w:rPr>
          <w:sz w:val="22"/>
          <w:szCs w:val="22"/>
          <w:lang w:val="sq-AL"/>
        </w:rPr>
        <w:t xml:space="preserve">te ardhurat nga shitja e apartamenteve </w:t>
      </w:r>
      <w:r w:rsidR="00C42A76">
        <w:rPr>
          <w:sz w:val="22"/>
          <w:szCs w:val="22"/>
          <w:lang w:val="sq-AL"/>
        </w:rPr>
        <w:t>.</w:t>
      </w:r>
      <w:r w:rsidR="009128AC">
        <w:rPr>
          <w:sz w:val="22"/>
          <w:szCs w:val="22"/>
          <w:lang w:val="sq-AL"/>
        </w:rPr>
        <w:t>4.328.160 te vitit 2011 dhe 2.520.000.per vitin 2012</w:t>
      </w:r>
    </w:p>
    <w:p w:rsidR="008305AA" w:rsidRPr="00EB2DD9" w:rsidRDefault="004D42D1" w:rsidP="001B6FC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sq-AL"/>
        </w:rPr>
      </w:pPr>
      <w:r w:rsidRPr="00EB2DD9">
        <w:rPr>
          <w:sz w:val="22"/>
          <w:szCs w:val="22"/>
          <w:lang w:val="sq-AL"/>
        </w:rPr>
        <w:t xml:space="preserve"> </w:t>
      </w:r>
      <w:r w:rsidR="008305AA" w:rsidRPr="00EB2DD9">
        <w:rPr>
          <w:sz w:val="22"/>
          <w:szCs w:val="22"/>
          <w:lang w:val="sq-AL"/>
        </w:rPr>
        <w:t>Drejtimi mendon se t</w:t>
      </w:r>
      <w:r w:rsidR="00AD5E02" w:rsidRPr="00EB2DD9">
        <w:rPr>
          <w:sz w:val="22"/>
          <w:szCs w:val="22"/>
          <w:lang w:val="sq-AL"/>
        </w:rPr>
        <w:t>ë</w:t>
      </w:r>
      <w:r w:rsidR="008305AA" w:rsidRPr="00EB2DD9">
        <w:rPr>
          <w:sz w:val="22"/>
          <w:szCs w:val="22"/>
          <w:lang w:val="sq-AL"/>
        </w:rPr>
        <w:t xml:space="preserve"> gjitha k</w:t>
      </w:r>
      <w:r w:rsidR="00AD5E02" w:rsidRPr="00EB2DD9">
        <w:rPr>
          <w:sz w:val="22"/>
          <w:szCs w:val="22"/>
          <w:lang w:val="sq-AL"/>
        </w:rPr>
        <w:t>ë</w:t>
      </w:r>
      <w:r w:rsidR="008305AA" w:rsidRPr="00EB2DD9">
        <w:rPr>
          <w:sz w:val="22"/>
          <w:szCs w:val="22"/>
          <w:lang w:val="sq-AL"/>
        </w:rPr>
        <w:t>rkes</w:t>
      </w:r>
      <w:r w:rsidR="00CC237A" w:rsidRPr="00EB2DD9">
        <w:rPr>
          <w:sz w:val="22"/>
          <w:szCs w:val="22"/>
          <w:lang w:val="sq-AL"/>
        </w:rPr>
        <w:t>a</w:t>
      </w:r>
      <w:r w:rsidR="008305AA" w:rsidRPr="00EB2DD9">
        <w:rPr>
          <w:sz w:val="22"/>
          <w:szCs w:val="22"/>
          <w:lang w:val="sq-AL"/>
        </w:rPr>
        <w:t>t do t</w:t>
      </w:r>
      <w:r w:rsidR="00AD5E02" w:rsidRPr="00EB2DD9">
        <w:rPr>
          <w:sz w:val="22"/>
          <w:szCs w:val="22"/>
          <w:lang w:val="sq-AL"/>
        </w:rPr>
        <w:t>ë</w:t>
      </w:r>
      <w:r w:rsidR="008305AA" w:rsidRPr="00EB2DD9">
        <w:rPr>
          <w:sz w:val="22"/>
          <w:szCs w:val="22"/>
          <w:lang w:val="sq-AL"/>
        </w:rPr>
        <w:t xml:space="preserve"> ark</w:t>
      </w:r>
      <w:r w:rsidR="00AD5E02" w:rsidRPr="00EB2DD9">
        <w:rPr>
          <w:sz w:val="22"/>
          <w:szCs w:val="22"/>
          <w:lang w:val="sq-AL"/>
        </w:rPr>
        <w:t>ë</w:t>
      </w:r>
      <w:r w:rsidR="008305AA" w:rsidRPr="00EB2DD9">
        <w:rPr>
          <w:sz w:val="22"/>
          <w:szCs w:val="22"/>
          <w:lang w:val="sq-AL"/>
        </w:rPr>
        <w:t>tohen n</w:t>
      </w:r>
      <w:r w:rsidR="00AD5E02" w:rsidRPr="00EB2DD9">
        <w:rPr>
          <w:sz w:val="22"/>
          <w:szCs w:val="22"/>
          <w:lang w:val="sq-AL"/>
        </w:rPr>
        <w:t>ë</w:t>
      </w:r>
      <w:r w:rsidR="00D27FB2" w:rsidRPr="00EB2DD9">
        <w:rPr>
          <w:sz w:val="22"/>
          <w:szCs w:val="22"/>
          <w:lang w:val="sq-AL"/>
        </w:rPr>
        <w:t xml:space="preserve"> </w:t>
      </w:r>
      <w:r w:rsidR="008305AA" w:rsidRPr="00EB2DD9">
        <w:rPr>
          <w:sz w:val="22"/>
          <w:szCs w:val="22"/>
          <w:lang w:val="sq-AL"/>
        </w:rPr>
        <w:t>nj</w:t>
      </w:r>
      <w:r w:rsidR="00AD5E02" w:rsidRPr="00EB2DD9">
        <w:rPr>
          <w:sz w:val="22"/>
          <w:szCs w:val="22"/>
          <w:lang w:val="sq-AL"/>
        </w:rPr>
        <w:t>ë</w:t>
      </w:r>
      <w:r w:rsidR="008305AA" w:rsidRPr="00EB2DD9">
        <w:rPr>
          <w:sz w:val="22"/>
          <w:szCs w:val="22"/>
          <w:lang w:val="sq-AL"/>
        </w:rPr>
        <w:t xml:space="preserve"> periudh</w:t>
      </w:r>
      <w:r w:rsidR="00AD5E02" w:rsidRPr="00EB2DD9">
        <w:rPr>
          <w:sz w:val="22"/>
          <w:szCs w:val="22"/>
          <w:lang w:val="sq-AL"/>
        </w:rPr>
        <w:t>ë</w:t>
      </w:r>
      <w:r w:rsidR="008305AA" w:rsidRPr="00EB2DD9">
        <w:rPr>
          <w:sz w:val="22"/>
          <w:szCs w:val="22"/>
          <w:lang w:val="sq-AL"/>
        </w:rPr>
        <w:t xml:space="preserve"> afatshkurt</w:t>
      </w:r>
      <w:r w:rsidR="00AD5E02" w:rsidRPr="00EB2DD9">
        <w:rPr>
          <w:sz w:val="22"/>
          <w:szCs w:val="22"/>
          <w:lang w:val="sq-AL"/>
        </w:rPr>
        <w:t>ë</w:t>
      </w:r>
      <w:r w:rsidR="008305AA" w:rsidRPr="00EB2DD9">
        <w:rPr>
          <w:sz w:val="22"/>
          <w:szCs w:val="22"/>
          <w:lang w:val="sq-AL"/>
        </w:rPr>
        <w:t>r me vler</w:t>
      </w:r>
      <w:r w:rsidR="00AD5E02" w:rsidRPr="00EB2DD9">
        <w:rPr>
          <w:sz w:val="22"/>
          <w:szCs w:val="22"/>
          <w:lang w:val="sq-AL"/>
        </w:rPr>
        <w:t>ë</w:t>
      </w:r>
      <w:r w:rsidR="008305AA" w:rsidRPr="00EB2DD9">
        <w:rPr>
          <w:sz w:val="22"/>
          <w:szCs w:val="22"/>
          <w:lang w:val="sq-AL"/>
        </w:rPr>
        <w:t>n e tyre nominale dhe nuk parashikon r</w:t>
      </w:r>
      <w:r w:rsidR="00AD5E02" w:rsidRPr="00EB2DD9">
        <w:rPr>
          <w:sz w:val="22"/>
          <w:szCs w:val="22"/>
          <w:lang w:val="sq-AL"/>
        </w:rPr>
        <w:t>ë</w:t>
      </w:r>
      <w:r w:rsidR="008305AA" w:rsidRPr="00EB2DD9">
        <w:rPr>
          <w:sz w:val="22"/>
          <w:szCs w:val="22"/>
          <w:lang w:val="sq-AL"/>
        </w:rPr>
        <w:t>nie ne vler</w:t>
      </w:r>
      <w:r w:rsidR="00AD5E02" w:rsidRPr="00EB2DD9">
        <w:rPr>
          <w:sz w:val="22"/>
          <w:szCs w:val="22"/>
          <w:lang w:val="sq-AL"/>
        </w:rPr>
        <w:t>ë</w:t>
      </w:r>
      <w:r w:rsidR="008305AA" w:rsidRPr="00EB2DD9">
        <w:rPr>
          <w:sz w:val="22"/>
          <w:szCs w:val="22"/>
          <w:lang w:val="sq-AL"/>
        </w:rPr>
        <w:t>.</w:t>
      </w:r>
    </w:p>
    <w:p w:rsidR="00693804" w:rsidRDefault="0069380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C42A76" w:rsidRDefault="00C42A76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C42A76" w:rsidRDefault="00C42A76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E00AAD" w:rsidRDefault="00E00AAD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E00AAD" w:rsidRDefault="00E00AAD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BA25E7" w:rsidRDefault="00BA25E7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72471" w:rsidRDefault="00272471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72471" w:rsidRDefault="00272471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72471" w:rsidRDefault="00272471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72471" w:rsidRDefault="00272471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72471" w:rsidRDefault="00272471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E00AAD" w:rsidRDefault="00E00AAD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B409C4" w:rsidRPr="006F3B3C" w:rsidRDefault="00B409C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lastRenderedPageBreak/>
        <w:t>S</w:t>
      </w:r>
      <w:r>
        <w:rPr>
          <w:rFonts w:ascii="Century Gothic" w:hAnsi="Century Gothic"/>
          <w:b/>
          <w:bCs/>
          <w:sz w:val="22"/>
          <w:szCs w:val="22"/>
          <w:lang w:val="nl-NL"/>
        </w:rPr>
        <w:t xml:space="preserve">HENIME PER PASQYRAT FINANCIARE </w:t>
      </w:r>
    </w:p>
    <w:p w:rsidR="00B409C4" w:rsidRPr="00B1225B" w:rsidRDefault="00B409C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>vitet ushtrimor te mbyllur më</w:t>
      </w:r>
      <w:r w:rsidR="00070B39">
        <w:rPr>
          <w:rFonts w:ascii="Century Gothic" w:hAnsi="Century Gothic"/>
          <w:b/>
          <w:bCs/>
          <w:sz w:val="22"/>
          <w:szCs w:val="22"/>
          <w:lang w:val="pt-BR"/>
        </w:rPr>
        <w:t xml:space="preserve"> 31 Dhjetor 201</w:t>
      </w:r>
      <w:r w:rsidR="00BA25E7">
        <w:rPr>
          <w:rFonts w:ascii="Century Gothic" w:hAnsi="Century Gothic"/>
          <w:b/>
          <w:bCs/>
          <w:sz w:val="22"/>
          <w:szCs w:val="22"/>
          <w:lang w:val="pt-BR"/>
        </w:rPr>
        <w:t>2</w:t>
      </w:r>
      <w:r>
        <w:rPr>
          <w:rFonts w:ascii="Century Gothic" w:hAnsi="Century Gothic"/>
          <w:b/>
          <w:bCs/>
          <w:sz w:val="22"/>
          <w:szCs w:val="22"/>
          <w:lang w:val="pt-BR"/>
        </w:rPr>
        <w:t xml:space="preserve"> dhe 20</w:t>
      </w:r>
      <w:r w:rsidR="00BA25E7">
        <w:rPr>
          <w:rFonts w:ascii="Century Gothic" w:hAnsi="Century Gothic"/>
          <w:b/>
          <w:bCs/>
          <w:sz w:val="22"/>
          <w:szCs w:val="22"/>
          <w:lang w:val="pt-BR"/>
        </w:rPr>
        <w:t>11</w:t>
      </w:r>
    </w:p>
    <w:p w:rsidR="00B409C4" w:rsidRPr="006F3B3C" w:rsidRDefault="00B409C4" w:rsidP="00B409C4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pt-BR"/>
        </w:rPr>
      </w:pPr>
      <w:r w:rsidRPr="006F3B3C">
        <w:rPr>
          <w:rFonts w:ascii="Century Gothic" w:hAnsi="Century Gothic"/>
          <w:b/>
          <w:bCs/>
          <w:sz w:val="18"/>
          <w:szCs w:val="18"/>
          <w:lang w:val="pt-BR"/>
        </w:rPr>
        <w:t>(Të gjitha balancat janë në lekë</w:t>
      </w:r>
      <w:r>
        <w:rPr>
          <w:rFonts w:ascii="Century Gothic" w:hAnsi="Century Gothic"/>
          <w:b/>
          <w:bCs/>
          <w:sz w:val="18"/>
          <w:szCs w:val="18"/>
          <w:lang w:val="pt-BR"/>
        </w:rPr>
        <w:t>).</w:t>
      </w:r>
    </w:p>
    <w:p w:rsidR="00B409C4" w:rsidRDefault="00B409C4" w:rsidP="00B409C4">
      <w:pPr>
        <w:ind w:left="360"/>
        <w:jc w:val="both"/>
        <w:rPr>
          <w:sz w:val="22"/>
          <w:szCs w:val="22"/>
        </w:rPr>
      </w:pPr>
    </w:p>
    <w:p w:rsidR="00BB0D7E" w:rsidRDefault="00A20986" w:rsidP="001B6FCD">
      <w:pPr>
        <w:numPr>
          <w:ilvl w:val="0"/>
          <w:numId w:val="1"/>
        </w:numPr>
        <w:jc w:val="both"/>
        <w:rPr>
          <w:b/>
          <w:sz w:val="22"/>
          <w:szCs w:val="22"/>
          <w:u w:val="single"/>
          <w:lang w:val="sq-AL"/>
        </w:rPr>
      </w:pPr>
      <w:r w:rsidRPr="00EB2DD9">
        <w:rPr>
          <w:b/>
          <w:sz w:val="22"/>
          <w:szCs w:val="22"/>
          <w:u w:val="single"/>
          <w:lang w:val="sq-AL"/>
        </w:rPr>
        <w:t>I</w:t>
      </w:r>
      <w:r w:rsidR="00C26E5B" w:rsidRPr="00EB2DD9">
        <w:rPr>
          <w:b/>
          <w:sz w:val="22"/>
          <w:szCs w:val="22"/>
          <w:u w:val="single"/>
          <w:lang w:val="sq-AL"/>
        </w:rPr>
        <w:t>nventari</w:t>
      </w:r>
      <w:r w:rsidR="00FB0D74" w:rsidRPr="00EB2DD9">
        <w:rPr>
          <w:b/>
          <w:sz w:val="22"/>
          <w:szCs w:val="22"/>
          <w:u w:val="single"/>
          <w:lang w:val="sq-AL"/>
        </w:rPr>
        <w:t xml:space="preserve">  </w:t>
      </w:r>
    </w:p>
    <w:p w:rsidR="00B409C4" w:rsidRPr="00EB2DD9" w:rsidRDefault="00B409C4" w:rsidP="001B6FCD">
      <w:pPr>
        <w:numPr>
          <w:ilvl w:val="0"/>
          <w:numId w:val="1"/>
        </w:numPr>
        <w:jc w:val="both"/>
        <w:rPr>
          <w:b/>
          <w:sz w:val="22"/>
          <w:szCs w:val="22"/>
          <w:u w:val="single"/>
          <w:lang w:val="sq-AL"/>
        </w:rPr>
      </w:pPr>
    </w:p>
    <w:p w:rsidR="00504ADC" w:rsidRDefault="00504ADC" w:rsidP="001B6FCD">
      <w:pPr>
        <w:pStyle w:val="BodyText"/>
        <w:ind w:left="360"/>
        <w:rPr>
          <w:sz w:val="22"/>
          <w:szCs w:val="22"/>
          <w:lang w:val="it-IT"/>
        </w:rPr>
      </w:pPr>
      <w:r w:rsidRPr="00EB2DD9">
        <w:rPr>
          <w:sz w:val="22"/>
          <w:szCs w:val="22"/>
          <w:lang w:val="it-IT"/>
        </w:rPr>
        <w:t>Gjendjet e inventarit n</w:t>
      </w:r>
      <w:r w:rsidR="00AD5E02" w:rsidRPr="00EB2DD9">
        <w:rPr>
          <w:sz w:val="22"/>
          <w:szCs w:val="22"/>
          <w:lang w:val="it-IT"/>
        </w:rPr>
        <w:t>ë</w:t>
      </w:r>
      <w:r w:rsidRPr="00EB2DD9">
        <w:rPr>
          <w:sz w:val="22"/>
          <w:szCs w:val="22"/>
          <w:lang w:val="it-IT"/>
        </w:rPr>
        <w:t xml:space="preserve"> fillim dhe fund t</w:t>
      </w:r>
      <w:r w:rsidR="00AD5E02" w:rsidRPr="00EB2DD9">
        <w:rPr>
          <w:sz w:val="22"/>
          <w:szCs w:val="22"/>
          <w:lang w:val="it-IT"/>
        </w:rPr>
        <w:t>ë</w:t>
      </w:r>
      <w:r w:rsidRPr="00EB2DD9">
        <w:rPr>
          <w:sz w:val="22"/>
          <w:szCs w:val="22"/>
          <w:lang w:val="it-IT"/>
        </w:rPr>
        <w:t xml:space="preserve"> ushtrimit paraqiten:</w:t>
      </w:r>
    </w:p>
    <w:p w:rsidR="00B409C4" w:rsidRPr="00EB2DD9" w:rsidRDefault="00B409C4" w:rsidP="001B6FCD">
      <w:pPr>
        <w:pStyle w:val="BodyText"/>
        <w:ind w:left="360"/>
        <w:rPr>
          <w:sz w:val="22"/>
          <w:szCs w:val="22"/>
          <w:lang w:val="it-IT"/>
        </w:rPr>
      </w:pPr>
    </w:p>
    <w:p w:rsidR="00504ADC" w:rsidRDefault="00BD2671" w:rsidP="001B6FCD">
      <w:pPr>
        <w:pStyle w:val="BodyText"/>
        <w:ind w:left="360" w:right="-50"/>
        <w:rPr>
          <w:sz w:val="20"/>
        </w:rPr>
      </w:pPr>
      <w:r w:rsidRPr="00EB2DD9">
        <w:rPr>
          <w:sz w:val="20"/>
        </w:rPr>
        <w:object w:dxaOrig="8407" w:dyaOrig="2867">
          <v:shape id="_x0000_i1029" type="#_x0000_t75" style="width:420.6pt;height:143.3pt" o:ole="">
            <v:imagedata r:id="rId18" o:title=""/>
          </v:shape>
          <o:OLEObject Type="Embed" ProgID="Excel.Sheet.8" ShapeID="_x0000_i1029" DrawAspect="Content" ObjectID="_1700743857" r:id="rId19"/>
        </w:object>
      </w:r>
    </w:p>
    <w:p w:rsidR="00B409C4" w:rsidRPr="00EB2DD9" w:rsidRDefault="00B409C4" w:rsidP="001B6FCD">
      <w:pPr>
        <w:pStyle w:val="BodyText"/>
        <w:ind w:left="360" w:right="-50"/>
        <w:rPr>
          <w:sz w:val="22"/>
          <w:szCs w:val="22"/>
          <w:lang w:val="it-IT"/>
        </w:rPr>
      </w:pPr>
    </w:p>
    <w:p w:rsidR="005E4525" w:rsidRDefault="001F584B" w:rsidP="009C6C44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it-IT"/>
        </w:rPr>
      </w:pPr>
      <w:r w:rsidRPr="00EB2DD9">
        <w:rPr>
          <w:sz w:val="22"/>
          <w:szCs w:val="22"/>
          <w:lang w:val="it-IT"/>
        </w:rPr>
        <w:t xml:space="preserve">Vlerat e </w:t>
      </w:r>
      <w:r w:rsidR="00504ADC" w:rsidRPr="00EB2DD9">
        <w:rPr>
          <w:sz w:val="22"/>
          <w:szCs w:val="22"/>
          <w:lang w:val="it-IT"/>
        </w:rPr>
        <w:t xml:space="preserve"> inventarit </w:t>
      </w:r>
      <w:r w:rsidRPr="00EB2DD9">
        <w:rPr>
          <w:sz w:val="22"/>
          <w:szCs w:val="22"/>
          <w:lang w:val="it-IT"/>
        </w:rPr>
        <w:t xml:space="preserve"> t</w:t>
      </w:r>
      <w:r w:rsidR="00AD5E02" w:rsidRPr="00EB2DD9">
        <w:rPr>
          <w:sz w:val="22"/>
          <w:szCs w:val="22"/>
          <w:lang w:val="it-IT"/>
        </w:rPr>
        <w:t>ë</w:t>
      </w:r>
      <w:r w:rsidRPr="00EB2DD9">
        <w:rPr>
          <w:sz w:val="22"/>
          <w:szCs w:val="22"/>
          <w:lang w:val="it-IT"/>
        </w:rPr>
        <w:t xml:space="preserve"> paraqitura me sip</w:t>
      </w:r>
      <w:r w:rsidR="00AD5E02" w:rsidRPr="00EB2DD9">
        <w:rPr>
          <w:sz w:val="22"/>
          <w:szCs w:val="22"/>
          <w:lang w:val="it-IT"/>
        </w:rPr>
        <w:t>ë</w:t>
      </w:r>
      <w:r w:rsidRPr="00EB2DD9">
        <w:rPr>
          <w:sz w:val="22"/>
          <w:szCs w:val="22"/>
          <w:lang w:val="it-IT"/>
        </w:rPr>
        <w:t xml:space="preserve">r </w:t>
      </w:r>
      <w:r w:rsidR="00C73AC9" w:rsidRPr="00EB2DD9">
        <w:rPr>
          <w:sz w:val="22"/>
          <w:szCs w:val="22"/>
          <w:lang w:val="it-IT"/>
        </w:rPr>
        <w:t>p</w:t>
      </w:r>
      <w:r w:rsidR="00AD5E02" w:rsidRPr="00EB2DD9">
        <w:rPr>
          <w:sz w:val="22"/>
          <w:szCs w:val="22"/>
          <w:lang w:val="it-IT"/>
        </w:rPr>
        <w:t>ë</w:t>
      </w:r>
      <w:r w:rsidR="00C73AC9" w:rsidRPr="00EB2DD9">
        <w:rPr>
          <w:sz w:val="22"/>
          <w:szCs w:val="22"/>
          <w:lang w:val="it-IT"/>
        </w:rPr>
        <w:t>rput</w:t>
      </w:r>
      <w:r w:rsidR="00504ADC" w:rsidRPr="00EB2DD9">
        <w:rPr>
          <w:sz w:val="22"/>
          <w:szCs w:val="22"/>
          <w:lang w:val="it-IT"/>
        </w:rPr>
        <w:t>he</w:t>
      </w:r>
      <w:r w:rsidRPr="00EB2DD9">
        <w:rPr>
          <w:sz w:val="22"/>
          <w:szCs w:val="22"/>
          <w:lang w:val="it-IT"/>
        </w:rPr>
        <w:t xml:space="preserve">n </w:t>
      </w:r>
      <w:r w:rsidR="00504ADC" w:rsidRPr="00EB2DD9">
        <w:rPr>
          <w:sz w:val="22"/>
          <w:szCs w:val="22"/>
          <w:lang w:val="it-IT"/>
        </w:rPr>
        <w:t xml:space="preserve"> me t</w:t>
      </w:r>
      <w:r w:rsidR="00AD5E02" w:rsidRPr="00EB2DD9">
        <w:rPr>
          <w:sz w:val="22"/>
          <w:szCs w:val="22"/>
          <w:lang w:val="it-IT"/>
        </w:rPr>
        <w:t>ë</w:t>
      </w:r>
      <w:r w:rsidR="00504ADC" w:rsidRPr="00EB2DD9">
        <w:rPr>
          <w:sz w:val="22"/>
          <w:szCs w:val="22"/>
          <w:lang w:val="it-IT"/>
        </w:rPr>
        <w:t xml:space="preserve"> dh</w:t>
      </w:r>
      <w:r w:rsidR="00AD5E02" w:rsidRPr="00EB2DD9">
        <w:rPr>
          <w:sz w:val="22"/>
          <w:szCs w:val="22"/>
          <w:lang w:val="it-IT"/>
        </w:rPr>
        <w:t>ë</w:t>
      </w:r>
      <w:r w:rsidR="00504ADC" w:rsidRPr="00EB2DD9">
        <w:rPr>
          <w:sz w:val="22"/>
          <w:szCs w:val="22"/>
          <w:lang w:val="it-IT"/>
        </w:rPr>
        <w:t>nat e kontabilitetit  dhe t</w:t>
      </w:r>
      <w:r w:rsidR="00AD5E02" w:rsidRPr="00EB2DD9">
        <w:rPr>
          <w:sz w:val="22"/>
          <w:szCs w:val="22"/>
          <w:lang w:val="it-IT"/>
        </w:rPr>
        <w:t>ë</w:t>
      </w:r>
      <w:r w:rsidR="00504ADC" w:rsidRPr="00EB2DD9">
        <w:rPr>
          <w:sz w:val="22"/>
          <w:szCs w:val="22"/>
          <w:lang w:val="it-IT"/>
        </w:rPr>
        <w:t xml:space="preserve"> inventarizimeve fizike </w:t>
      </w:r>
      <w:r w:rsidR="00D34F36" w:rsidRPr="00EB2DD9">
        <w:rPr>
          <w:sz w:val="22"/>
          <w:szCs w:val="22"/>
          <w:lang w:val="it-IT"/>
        </w:rPr>
        <w:t xml:space="preserve"> e</w:t>
      </w:r>
      <w:r w:rsidR="00504ADC" w:rsidRPr="00EB2DD9">
        <w:rPr>
          <w:sz w:val="22"/>
          <w:szCs w:val="22"/>
          <w:lang w:val="it-IT"/>
        </w:rPr>
        <w:t xml:space="preserve"> kryer n</w:t>
      </w:r>
      <w:r w:rsidR="00AD5E02" w:rsidRPr="00EB2DD9">
        <w:rPr>
          <w:sz w:val="22"/>
          <w:szCs w:val="22"/>
          <w:lang w:val="it-IT"/>
        </w:rPr>
        <w:t>ë</w:t>
      </w:r>
      <w:r w:rsidR="00504ADC" w:rsidRPr="00EB2DD9">
        <w:rPr>
          <w:sz w:val="22"/>
          <w:szCs w:val="22"/>
          <w:lang w:val="it-IT"/>
        </w:rPr>
        <w:t xml:space="preserve"> fund t</w:t>
      </w:r>
      <w:r w:rsidR="00AD5E02" w:rsidRPr="00EB2DD9">
        <w:rPr>
          <w:sz w:val="22"/>
          <w:szCs w:val="22"/>
          <w:lang w:val="it-IT"/>
        </w:rPr>
        <w:t>ë</w:t>
      </w:r>
      <w:r w:rsidR="00070B39">
        <w:rPr>
          <w:sz w:val="22"/>
          <w:szCs w:val="22"/>
          <w:lang w:val="it-IT"/>
        </w:rPr>
        <w:t xml:space="preserve"> ushtrimit 201</w:t>
      </w:r>
      <w:r w:rsidR="00BD2671">
        <w:rPr>
          <w:sz w:val="22"/>
          <w:szCs w:val="22"/>
          <w:lang w:val="it-IT"/>
        </w:rPr>
        <w:t>2</w:t>
      </w:r>
      <w:r w:rsidR="00504ADC" w:rsidRPr="00EB2DD9">
        <w:rPr>
          <w:sz w:val="22"/>
          <w:szCs w:val="22"/>
          <w:lang w:val="it-IT"/>
        </w:rPr>
        <w:t>.</w:t>
      </w:r>
      <w:r w:rsidR="001E79F2" w:rsidRPr="00EB2DD9">
        <w:rPr>
          <w:sz w:val="22"/>
          <w:szCs w:val="22"/>
          <w:lang w:val="it-IT"/>
        </w:rPr>
        <w:t xml:space="preserve"> </w:t>
      </w:r>
      <w:r w:rsidR="00504ADC" w:rsidRPr="00EB2DD9">
        <w:rPr>
          <w:sz w:val="22"/>
          <w:szCs w:val="22"/>
          <w:lang w:val="it-IT"/>
        </w:rPr>
        <w:t>Veprimet ekonomike q</w:t>
      </w:r>
      <w:r w:rsidR="00AD5E02" w:rsidRPr="00EB2DD9">
        <w:rPr>
          <w:sz w:val="22"/>
          <w:szCs w:val="22"/>
          <w:lang w:val="it-IT"/>
        </w:rPr>
        <w:t>ë</w:t>
      </w:r>
      <w:r w:rsidR="00504ADC" w:rsidRPr="00EB2DD9">
        <w:rPr>
          <w:sz w:val="22"/>
          <w:szCs w:val="22"/>
          <w:lang w:val="it-IT"/>
        </w:rPr>
        <w:t xml:space="preserve"> lidhen me hyrjet e daljet jane tranzituar n</w:t>
      </w:r>
      <w:r w:rsidR="00AD5E02" w:rsidRPr="00EB2DD9">
        <w:rPr>
          <w:sz w:val="22"/>
          <w:szCs w:val="22"/>
          <w:lang w:val="it-IT"/>
        </w:rPr>
        <w:t>ë</w:t>
      </w:r>
      <w:r w:rsidR="00504ADC" w:rsidRPr="00EB2DD9">
        <w:rPr>
          <w:sz w:val="22"/>
          <w:szCs w:val="22"/>
          <w:lang w:val="it-IT"/>
        </w:rPr>
        <w:t xml:space="preserve"> llogarit</w:t>
      </w:r>
      <w:r w:rsidR="00AD5E02" w:rsidRPr="00EB2DD9">
        <w:rPr>
          <w:sz w:val="22"/>
          <w:szCs w:val="22"/>
          <w:lang w:val="it-IT"/>
        </w:rPr>
        <w:t>ë</w:t>
      </w:r>
      <w:r w:rsidR="00504ADC" w:rsidRPr="00EB2DD9">
        <w:rPr>
          <w:sz w:val="22"/>
          <w:szCs w:val="22"/>
          <w:lang w:val="it-IT"/>
        </w:rPr>
        <w:t xml:space="preserve"> e rezultatit me menyr</w:t>
      </w:r>
      <w:r w:rsidR="00AD5E02" w:rsidRPr="00EB2DD9">
        <w:rPr>
          <w:sz w:val="22"/>
          <w:szCs w:val="22"/>
          <w:lang w:val="it-IT"/>
        </w:rPr>
        <w:t>ë</w:t>
      </w:r>
      <w:r w:rsidR="00504ADC" w:rsidRPr="00EB2DD9">
        <w:rPr>
          <w:sz w:val="22"/>
          <w:szCs w:val="22"/>
          <w:lang w:val="it-IT"/>
        </w:rPr>
        <w:t>n e inventarit t</w:t>
      </w:r>
      <w:r w:rsidR="00AD5E02" w:rsidRPr="00EB2DD9">
        <w:rPr>
          <w:sz w:val="22"/>
          <w:szCs w:val="22"/>
          <w:lang w:val="it-IT"/>
        </w:rPr>
        <w:t>ë</w:t>
      </w:r>
      <w:r w:rsidR="00504ADC" w:rsidRPr="00EB2DD9">
        <w:rPr>
          <w:sz w:val="22"/>
          <w:szCs w:val="22"/>
          <w:lang w:val="it-IT"/>
        </w:rPr>
        <w:t xml:space="preserve"> nd</w:t>
      </w:r>
      <w:r w:rsidR="00AD5E02" w:rsidRPr="00EB2DD9">
        <w:rPr>
          <w:sz w:val="22"/>
          <w:szCs w:val="22"/>
          <w:lang w:val="it-IT"/>
        </w:rPr>
        <w:t>ë</w:t>
      </w:r>
      <w:r w:rsidR="00504ADC" w:rsidRPr="00EB2DD9">
        <w:rPr>
          <w:sz w:val="22"/>
          <w:szCs w:val="22"/>
          <w:lang w:val="it-IT"/>
        </w:rPr>
        <w:t>rmjet</w:t>
      </w:r>
      <w:r w:rsidR="00AD5E02" w:rsidRPr="00EB2DD9">
        <w:rPr>
          <w:sz w:val="22"/>
          <w:szCs w:val="22"/>
          <w:lang w:val="it-IT"/>
        </w:rPr>
        <w:t>ë</w:t>
      </w:r>
      <w:r w:rsidR="00504ADC" w:rsidRPr="00EB2DD9">
        <w:rPr>
          <w:sz w:val="22"/>
          <w:szCs w:val="22"/>
          <w:lang w:val="it-IT"/>
        </w:rPr>
        <w:t>m.</w:t>
      </w:r>
      <w:r w:rsidR="000A71D6" w:rsidRPr="00EB2DD9">
        <w:rPr>
          <w:sz w:val="22"/>
          <w:szCs w:val="22"/>
          <w:lang w:val="it-IT"/>
        </w:rPr>
        <w:t xml:space="preserve"> Si politik</w:t>
      </w:r>
      <w:r w:rsidR="00AD5E02" w:rsidRPr="00EB2DD9">
        <w:rPr>
          <w:sz w:val="22"/>
          <w:szCs w:val="22"/>
          <w:lang w:val="it-IT"/>
        </w:rPr>
        <w:t>ë</w:t>
      </w:r>
      <w:r w:rsidR="00C73AC9" w:rsidRPr="00EB2DD9">
        <w:rPr>
          <w:sz w:val="22"/>
          <w:szCs w:val="22"/>
          <w:lang w:val="it-IT"/>
        </w:rPr>
        <w:t xml:space="preserve"> </w:t>
      </w:r>
      <w:r w:rsidR="000A71D6" w:rsidRPr="00EB2DD9">
        <w:rPr>
          <w:sz w:val="22"/>
          <w:szCs w:val="22"/>
          <w:lang w:val="it-IT"/>
        </w:rPr>
        <w:t>kontab</w:t>
      </w:r>
      <w:r w:rsidR="00AD5E02" w:rsidRPr="00EB2DD9">
        <w:rPr>
          <w:sz w:val="22"/>
          <w:szCs w:val="22"/>
          <w:lang w:val="it-IT"/>
        </w:rPr>
        <w:t>ë</w:t>
      </w:r>
      <w:r w:rsidR="000A71D6" w:rsidRPr="00EB2DD9">
        <w:rPr>
          <w:sz w:val="22"/>
          <w:szCs w:val="22"/>
          <w:lang w:val="it-IT"/>
        </w:rPr>
        <w:t>l n</w:t>
      </w:r>
      <w:r w:rsidR="00AD5E02" w:rsidRPr="00EB2DD9">
        <w:rPr>
          <w:sz w:val="22"/>
          <w:szCs w:val="22"/>
          <w:lang w:val="it-IT"/>
        </w:rPr>
        <w:t>ë</w:t>
      </w:r>
      <w:r w:rsidR="000A71D6" w:rsidRPr="00EB2DD9">
        <w:rPr>
          <w:sz w:val="22"/>
          <w:szCs w:val="22"/>
          <w:lang w:val="it-IT"/>
        </w:rPr>
        <w:t xml:space="preserve"> p</w:t>
      </w:r>
      <w:r w:rsidR="00AD5E02" w:rsidRPr="00EB2DD9">
        <w:rPr>
          <w:sz w:val="22"/>
          <w:szCs w:val="22"/>
          <w:lang w:val="it-IT"/>
        </w:rPr>
        <w:t>ë</w:t>
      </w:r>
      <w:r w:rsidR="000A71D6" w:rsidRPr="00EB2DD9">
        <w:rPr>
          <w:sz w:val="22"/>
          <w:szCs w:val="22"/>
          <w:lang w:val="it-IT"/>
        </w:rPr>
        <w:t>rcaktimin e kostos s</w:t>
      </w:r>
      <w:r w:rsidR="00AD5E02" w:rsidRPr="00EB2DD9">
        <w:rPr>
          <w:sz w:val="22"/>
          <w:szCs w:val="22"/>
          <w:lang w:val="it-IT"/>
        </w:rPr>
        <w:t>ë</w:t>
      </w:r>
      <w:r w:rsidR="000A71D6" w:rsidRPr="00EB2DD9">
        <w:rPr>
          <w:sz w:val="22"/>
          <w:szCs w:val="22"/>
          <w:lang w:val="it-IT"/>
        </w:rPr>
        <w:t xml:space="preserve"> </w:t>
      </w:r>
      <w:r w:rsidR="00811551" w:rsidRPr="00EB2DD9">
        <w:rPr>
          <w:sz w:val="22"/>
          <w:szCs w:val="22"/>
          <w:lang w:val="it-IT"/>
        </w:rPr>
        <w:t xml:space="preserve"> inventarit </w:t>
      </w:r>
      <w:r w:rsidR="00AD5E02" w:rsidRPr="00EB2DD9">
        <w:rPr>
          <w:sz w:val="22"/>
          <w:szCs w:val="22"/>
          <w:lang w:val="it-IT"/>
        </w:rPr>
        <w:t>ë</w:t>
      </w:r>
      <w:r w:rsidR="00811551" w:rsidRPr="00EB2DD9">
        <w:rPr>
          <w:sz w:val="22"/>
          <w:szCs w:val="22"/>
          <w:lang w:val="it-IT"/>
        </w:rPr>
        <w:t>sht</w:t>
      </w:r>
      <w:r w:rsidR="00AD5E02" w:rsidRPr="00EB2DD9">
        <w:rPr>
          <w:sz w:val="22"/>
          <w:szCs w:val="22"/>
          <w:lang w:val="it-IT"/>
        </w:rPr>
        <w:t>ë</w:t>
      </w:r>
      <w:r w:rsidR="00811551" w:rsidRPr="00EB2DD9">
        <w:rPr>
          <w:sz w:val="22"/>
          <w:szCs w:val="22"/>
          <w:lang w:val="it-IT"/>
        </w:rPr>
        <w:t xml:space="preserve"> </w:t>
      </w:r>
      <w:r w:rsidR="000A71D6" w:rsidRPr="00EB2DD9">
        <w:rPr>
          <w:sz w:val="22"/>
          <w:szCs w:val="22"/>
          <w:lang w:val="it-IT"/>
        </w:rPr>
        <w:t>p</w:t>
      </w:r>
      <w:r w:rsidR="00AD5E02" w:rsidRPr="00EB2DD9">
        <w:rPr>
          <w:sz w:val="22"/>
          <w:szCs w:val="22"/>
          <w:lang w:val="it-IT"/>
        </w:rPr>
        <w:t>ë</w:t>
      </w:r>
      <w:r w:rsidR="000A71D6" w:rsidRPr="00EB2DD9">
        <w:rPr>
          <w:sz w:val="22"/>
          <w:szCs w:val="22"/>
          <w:lang w:val="it-IT"/>
        </w:rPr>
        <w:t>rdorur</w:t>
      </w:r>
      <w:r w:rsidR="00811551" w:rsidRPr="00EB2DD9">
        <w:rPr>
          <w:sz w:val="22"/>
          <w:szCs w:val="22"/>
          <w:lang w:val="it-IT"/>
        </w:rPr>
        <w:t xml:space="preserve"> metod</w:t>
      </w:r>
      <w:r w:rsidR="000A71D6" w:rsidRPr="00EB2DD9">
        <w:rPr>
          <w:sz w:val="22"/>
          <w:szCs w:val="22"/>
          <w:lang w:val="it-IT"/>
        </w:rPr>
        <w:t>a</w:t>
      </w:r>
      <w:r w:rsidR="00811551" w:rsidRPr="00EB2DD9">
        <w:rPr>
          <w:sz w:val="22"/>
          <w:szCs w:val="22"/>
          <w:lang w:val="it-IT"/>
        </w:rPr>
        <w:t xml:space="preserve"> </w:t>
      </w:r>
      <w:r w:rsidR="000A71D6" w:rsidRPr="00EB2DD9">
        <w:rPr>
          <w:sz w:val="22"/>
          <w:szCs w:val="22"/>
          <w:lang w:val="it-IT"/>
        </w:rPr>
        <w:t>“</w:t>
      </w:r>
      <w:r w:rsidR="00811551" w:rsidRPr="00EB2DD9">
        <w:rPr>
          <w:sz w:val="22"/>
          <w:szCs w:val="22"/>
          <w:lang w:val="it-IT"/>
        </w:rPr>
        <w:t>FIFO</w:t>
      </w:r>
      <w:r w:rsidR="000A71D6" w:rsidRPr="00EB2DD9">
        <w:rPr>
          <w:sz w:val="22"/>
          <w:szCs w:val="22"/>
          <w:lang w:val="it-IT"/>
        </w:rPr>
        <w:t>”.</w:t>
      </w:r>
      <w:r w:rsidR="005E4525" w:rsidRPr="00EB2DD9">
        <w:rPr>
          <w:sz w:val="22"/>
          <w:szCs w:val="22"/>
          <w:lang w:val="it-IT"/>
        </w:rPr>
        <w:t>Vlera e inventarëve të njohura si shpen</w:t>
      </w:r>
      <w:r w:rsidR="00070B39">
        <w:rPr>
          <w:sz w:val="22"/>
          <w:szCs w:val="22"/>
          <w:lang w:val="it-IT"/>
        </w:rPr>
        <w:t>zim gjatë periudhës kontabël 201</w:t>
      </w:r>
      <w:r w:rsidR="00353C44">
        <w:rPr>
          <w:sz w:val="22"/>
          <w:szCs w:val="22"/>
          <w:lang w:val="it-IT"/>
        </w:rPr>
        <w:t>2</w:t>
      </w:r>
      <w:r w:rsidR="005E4525" w:rsidRPr="00EB2DD9">
        <w:rPr>
          <w:sz w:val="22"/>
          <w:szCs w:val="22"/>
          <w:lang w:val="it-IT"/>
        </w:rPr>
        <w:t xml:space="preserve"> </w:t>
      </w:r>
      <w:r w:rsidR="00AD5E02" w:rsidRPr="00EB2DD9">
        <w:rPr>
          <w:sz w:val="22"/>
          <w:szCs w:val="22"/>
          <w:lang w:val="it-IT"/>
        </w:rPr>
        <w:t>ë</w:t>
      </w:r>
      <w:r w:rsidR="005E4525" w:rsidRPr="00EB2DD9">
        <w:rPr>
          <w:sz w:val="22"/>
          <w:szCs w:val="22"/>
          <w:lang w:val="it-IT"/>
        </w:rPr>
        <w:t>sht</w:t>
      </w:r>
      <w:r w:rsidR="00AD5E02" w:rsidRPr="00EB2DD9">
        <w:rPr>
          <w:sz w:val="22"/>
          <w:szCs w:val="22"/>
          <w:lang w:val="it-IT"/>
        </w:rPr>
        <w:t>ë</w:t>
      </w:r>
      <w:r w:rsidR="005E4525" w:rsidRPr="00EB2DD9">
        <w:rPr>
          <w:sz w:val="22"/>
          <w:szCs w:val="22"/>
          <w:lang w:val="it-IT"/>
        </w:rPr>
        <w:t xml:space="preserve"> </w:t>
      </w:r>
      <w:r w:rsidR="00353C44" w:rsidRPr="00BD2EB1">
        <w:rPr>
          <w:b/>
          <w:sz w:val="22"/>
          <w:szCs w:val="22"/>
          <w:lang w:val="it-IT"/>
        </w:rPr>
        <w:t>20.026.166</w:t>
      </w:r>
      <w:r w:rsidR="00353C44">
        <w:rPr>
          <w:sz w:val="22"/>
          <w:szCs w:val="22"/>
          <w:lang w:val="it-IT"/>
        </w:rPr>
        <w:t xml:space="preserve"> </w:t>
      </w:r>
      <w:r w:rsidR="005E4525" w:rsidRPr="00EB2DD9">
        <w:rPr>
          <w:sz w:val="22"/>
          <w:szCs w:val="22"/>
          <w:lang w:val="it-IT"/>
        </w:rPr>
        <w:t>lek</w:t>
      </w:r>
      <w:r w:rsidR="00AD5E02" w:rsidRPr="00EB2DD9">
        <w:rPr>
          <w:sz w:val="22"/>
          <w:szCs w:val="22"/>
          <w:lang w:val="it-IT"/>
        </w:rPr>
        <w:t>ë</w:t>
      </w:r>
      <w:r w:rsidR="006D0BE0" w:rsidRPr="00EB2DD9">
        <w:rPr>
          <w:sz w:val="22"/>
          <w:szCs w:val="22"/>
          <w:lang w:val="it-IT"/>
        </w:rPr>
        <w:t>.</w:t>
      </w:r>
    </w:p>
    <w:p w:rsidR="00C45FA2" w:rsidRDefault="00C45FA2" w:rsidP="009C6C44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Kontrolli i shpenzimeve :Gjendja ne fillim te periudhes 2.144.148</w:t>
      </w:r>
    </w:p>
    <w:p w:rsidR="00C45FA2" w:rsidRDefault="00C45FA2" w:rsidP="009C6C44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Blerje gjate periudhes (Sipas faturave );18.418.879</w:t>
      </w:r>
    </w:p>
    <w:p w:rsidR="00C45FA2" w:rsidRPr="00EB2DD9" w:rsidRDefault="00C45FA2" w:rsidP="009C6C44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Gjendja ne fund te p</w:t>
      </w:r>
      <w:r w:rsidR="00BD2EB1">
        <w:rPr>
          <w:sz w:val="22"/>
          <w:szCs w:val="22"/>
          <w:lang w:val="it-IT"/>
        </w:rPr>
        <w:t xml:space="preserve">eriudhe (Inventari)      </w:t>
      </w:r>
      <w:r w:rsidR="00BD2EB1" w:rsidRPr="00BD2EB1">
        <w:rPr>
          <w:b/>
          <w:sz w:val="22"/>
          <w:szCs w:val="22"/>
          <w:lang w:val="it-IT"/>
        </w:rPr>
        <w:t>535.861</w:t>
      </w:r>
    </w:p>
    <w:p w:rsidR="00A8168B" w:rsidRPr="00EB2DD9" w:rsidRDefault="00A8168B" w:rsidP="001B6FCD">
      <w:pPr>
        <w:pStyle w:val="BodyText"/>
        <w:ind w:left="360"/>
        <w:rPr>
          <w:sz w:val="22"/>
          <w:szCs w:val="22"/>
          <w:lang w:val="it-IT"/>
        </w:rPr>
      </w:pPr>
      <w:r w:rsidRPr="00EB2DD9">
        <w:rPr>
          <w:sz w:val="22"/>
          <w:szCs w:val="22"/>
          <w:lang w:val="it-IT"/>
        </w:rPr>
        <w:t>Ndersa “Inventari i imet” perbehet nga materiale q</w:t>
      </w:r>
      <w:r w:rsidR="00AD5E02" w:rsidRPr="00EB2DD9">
        <w:rPr>
          <w:sz w:val="22"/>
          <w:szCs w:val="22"/>
          <w:lang w:val="it-IT"/>
        </w:rPr>
        <w:t>ë</w:t>
      </w:r>
      <w:r w:rsidRPr="00EB2DD9">
        <w:rPr>
          <w:sz w:val="22"/>
          <w:szCs w:val="22"/>
          <w:lang w:val="it-IT"/>
        </w:rPr>
        <w:t xml:space="preserve"> p</w:t>
      </w:r>
      <w:r w:rsidR="00AD5E02" w:rsidRPr="00EB2DD9">
        <w:rPr>
          <w:sz w:val="22"/>
          <w:szCs w:val="22"/>
          <w:lang w:val="it-IT"/>
        </w:rPr>
        <w:t>ë</w:t>
      </w:r>
      <w:r w:rsidRPr="00EB2DD9">
        <w:rPr>
          <w:sz w:val="22"/>
          <w:szCs w:val="22"/>
          <w:lang w:val="it-IT"/>
        </w:rPr>
        <w:t>rdoren p</w:t>
      </w:r>
      <w:r w:rsidR="00AD5E02" w:rsidRPr="00EB2DD9">
        <w:rPr>
          <w:sz w:val="22"/>
          <w:szCs w:val="22"/>
          <w:lang w:val="it-IT"/>
        </w:rPr>
        <w:t>ë</w:t>
      </w:r>
      <w:r w:rsidR="00787F1D" w:rsidRPr="00EB2DD9">
        <w:rPr>
          <w:sz w:val="22"/>
          <w:szCs w:val="22"/>
          <w:lang w:val="it-IT"/>
        </w:rPr>
        <w:t>r restorantin.</w:t>
      </w:r>
    </w:p>
    <w:p w:rsidR="003E7C49" w:rsidRDefault="005E4525" w:rsidP="001B6FCD">
      <w:pPr>
        <w:pStyle w:val="BodyText"/>
        <w:ind w:left="360"/>
        <w:rPr>
          <w:sz w:val="22"/>
          <w:szCs w:val="22"/>
          <w:lang w:val="it-IT"/>
        </w:rPr>
      </w:pPr>
      <w:r w:rsidRPr="00EB2DD9">
        <w:rPr>
          <w:sz w:val="22"/>
          <w:szCs w:val="22"/>
          <w:lang w:val="it-IT"/>
        </w:rPr>
        <w:t xml:space="preserve">Drejtimi mendon se  </w:t>
      </w:r>
      <w:r w:rsidR="006D0BE0" w:rsidRPr="00EB2DD9">
        <w:rPr>
          <w:sz w:val="22"/>
          <w:szCs w:val="22"/>
          <w:lang w:val="it-IT"/>
        </w:rPr>
        <w:t>vlera e paraqitur eshte vlera me e ulet mes kostos</w:t>
      </w:r>
      <w:r w:rsidR="00DD6AA3" w:rsidRPr="00EB2DD9">
        <w:rPr>
          <w:sz w:val="22"/>
          <w:szCs w:val="22"/>
          <w:lang w:val="it-IT"/>
        </w:rPr>
        <w:t xml:space="preserve"> se marrjes</w:t>
      </w:r>
      <w:r w:rsidR="006D0BE0" w:rsidRPr="00EB2DD9">
        <w:rPr>
          <w:sz w:val="22"/>
          <w:szCs w:val="22"/>
          <w:lang w:val="it-IT"/>
        </w:rPr>
        <w:t xml:space="preserve"> dhe vleres neto te realizueshme dhe nuk eshte nevoja  per zhvleresime te tij.</w:t>
      </w:r>
    </w:p>
    <w:p w:rsidR="00B409C4" w:rsidRDefault="00B409C4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Default="008861DB" w:rsidP="001B6FCD">
      <w:pPr>
        <w:pStyle w:val="BodyText"/>
        <w:ind w:left="360"/>
        <w:rPr>
          <w:sz w:val="22"/>
          <w:szCs w:val="22"/>
        </w:rPr>
      </w:pPr>
    </w:p>
    <w:p w:rsidR="008861DB" w:rsidRPr="00EB2DD9" w:rsidRDefault="008861DB" w:rsidP="001B6FCD">
      <w:pPr>
        <w:pStyle w:val="BodyText"/>
        <w:ind w:left="360"/>
        <w:rPr>
          <w:sz w:val="22"/>
          <w:szCs w:val="22"/>
        </w:rPr>
      </w:pPr>
    </w:p>
    <w:p w:rsidR="00BB0D7E" w:rsidRPr="00EB2DD9" w:rsidRDefault="00820B59" w:rsidP="001B6FCD">
      <w:pPr>
        <w:numPr>
          <w:ilvl w:val="0"/>
          <w:numId w:val="1"/>
        </w:numPr>
        <w:jc w:val="both"/>
        <w:rPr>
          <w:b/>
          <w:sz w:val="22"/>
          <w:szCs w:val="22"/>
          <w:u w:val="single"/>
          <w:lang w:val="pt-BR"/>
        </w:rPr>
      </w:pPr>
      <w:r w:rsidRPr="00EB2DD9">
        <w:rPr>
          <w:b/>
          <w:sz w:val="22"/>
          <w:szCs w:val="22"/>
          <w:u w:val="single"/>
          <w:lang w:val="pt-BR"/>
        </w:rPr>
        <w:lastRenderedPageBreak/>
        <w:t>Aktive</w:t>
      </w:r>
      <w:r w:rsidR="00584341" w:rsidRPr="00EB2DD9">
        <w:rPr>
          <w:b/>
          <w:sz w:val="22"/>
          <w:szCs w:val="22"/>
          <w:u w:val="single"/>
          <w:lang w:val="pt-BR"/>
        </w:rPr>
        <w:t>t Afatgjata Materiale(AAM-te)</w:t>
      </w:r>
    </w:p>
    <w:p w:rsidR="00BB0D7E" w:rsidRPr="00EB2DD9" w:rsidRDefault="00BB0D7E" w:rsidP="001B6FCD">
      <w:pPr>
        <w:ind w:left="360"/>
        <w:jc w:val="both"/>
        <w:rPr>
          <w:b/>
          <w:sz w:val="22"/>
          <w:szCs w:val="22"/>
          <w:u w:val="single"/>
          <w:lang w:val="pt-BR"/>
        </w:rPr>
      </w:pPr>
    </w:p>
    <w:p w:rsidR="00706954" w:rsidRPr="008861DB" w:rsidRDefault="00693444" w:rsidP="008861DB">
      <w:pPr>
        <w:ind w:left="360"/>
        <w:jc w:val="both"/>
        <w:rPr>
          <w:bCs/>
          <w:sz w:val="22"/>
          <w:szCs w:val="22"/>
          <w:lang w:val="es-ES"/>
        </w:rPr>
      </w:pPr>
      <w:r w:rsidRPr="00EB2DD9">
        <w:rPr>
          <w:bCs/>
          <w:sz w:val="22"/>
          <w:szCs w:val="22"/>
          <w:lang w:val="es-ES"/>
        </w:rPr>
        <w:t xml:space="preserve">Gjendjet dhe levizjet e aktiveve </w:t>
      </w:r>
      <w:r w:rsidR="00277CAE" w:rsidRPr="00EB2DD9">
        <w:rPr>
          <w:bCs/>
          <w:sz w:val="22"/>
          <w:szCs w:val="22"/>
          <w:lang w:val="es-ES"/>
        </w:rPr>
        <w:t>afatgjata materiale</w:t>
      </w:r>
      <w:r w:rsidRPr="00EB2DD9">
        <w:rPr>
          <w:bCs/>
          <w:sz w:val="22"/>
          <w:szCs w:val="22"/>
          <w:lang w:val="es-ES"/>
        </w:rPr>
        <w:t xml:space="preserve"> n</w:t>
      </w:r>
      <w:r w:rsidR="0056052F" w:rsidRPr="00EB2DD9">
        <w:rPr>
          <w:bCs/>
          <w:sz w:val="22"/>
          <w:szCs w:val="22"/>
          <w:lang w:val="es-ES"/>
        </w:rPr>
        <w:t>ë</w:t>
      </w:r>
      <w:r w:rsidRPr="00EB2DD9">
        <w:rPr>
          <w:bCs/>
          <w:sz w:val="22"/>
          <w:szCs w:val="22"/>
          <w:lang w:val="es-ES"/>
        </w:rPr>
        <w:t xml:space="preserve"> pasqyrat financiare paraqitet</w:t>
      </w:r>
      <w:r w:rsidR="00277CAE" w:rsidRPr="00EB2DD9">
        <w:rPr>
          <w:bCs/>
          <w:sz w:val="22"/>
          <w:szCs w:val="22"/>
          <w:lang w:val="es-ES"/>
        </w:rPr>
        <w:t xml:space="preserve"> si vijon:</w:t>
      </w:r>
    </w:p>
    <w:p w:rsidR="00706954" w:rsidRDefault="00706954" w:rsidP="00390358">
      <w:pPr>
        <w:ind w:left="360" w:right="-50"/>
        <w:jc w:val="both"/>
        <w:rPr>
          <w:bCs/>
          <w:sz w:val="22"/>
          <w:szCs w:val="22"/>
        </w:rPr>
      </w:pPr>
    </w:p>
    <w:p w:rsidR="00706954" w:rsidRDefault="00706954" w:rsidP="00390358">
      <w:pPr>
        <w:ind w:left="360" w:right="-50"/>
        <w:jc w:val="both"/>
        <w:rPr>
          <w:bCs/>
          <w:sz w:val="22"/>
          <w:szCs w:val="22"/>
        </w:rPr>
      </w:pPr>
    </w:p>
    <w:p w:rsidR="00322CF6" w:rsidRPr="00390358" w:rsidRDefault="008861DB" w:rsidP="00390358">
      <w:pPr>
        <w:ind w:left="360" w:right="-50"/>
        <w:jc w:val="both"/>
        <w:rPr>
          <w:sz w:val="22"/>
          <w:szCs w:val="22"/>
        </w:rPr>
      </w:pPr>
      <w:r w:rsidRPr="00EB2DD9">
        <w:rPr>
          <w:bCs/>
          <w:sz w:val="22"/>
          <w:szCs w:val="22"/>
        </w:rPr>
        <w:object w:dxaOrig="9307" w:dyaOrig="5114">
          <v:shape id="_x0000_i1030" type="#_x0000_t75" style="width:491.15pt;height:269.45pt" o:ole="">
            <v:imagedata r:id="rId20" o:title=""/>
          </v:shape>
          <o:OLEObject Type="Embed" ProgID="Excel.Sheet.8" ShapeID="_x0000_i1030" DrawAspect="Content" ObjectID="_1700743858" r:id="rId21"/>
        </w:object>
      </w:r>
    </w:p>
    <w:p w:rsidR="00706954" w:rsidRDefault="0070695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706954" w:rsidRDefault="0070695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706954" w:rsidRDefault="0070695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B409C4" w:rsidRDefault="00B409C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t>S</w:t>
      </w:r>
      <w:r>
        <w:rPr>
          <w:rFonts w:ascii="Century Gothic" w:hAnsi="Century Gothic"/>
          <w:b/>
          <w:bCs/>
          <w:sz w:val="22"/>
          <w:szCs w:val="22"/>
          <w:lang w:val="nl-NL"/>
        </w:rPr>
        <w:t xml:space="preserve">HENIME PER PASQYRAT FINANCIARE </w:t>
      </w:r>
    </w:p>
    <w:p w:rsidR="00B409C4" w:rsidRDefault="00B409C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>vitet ushtrimor te mbyllur më</w:t>
      </w:r>
      <w:r w:rsidR="00C055CD">
        <w:rPr>
          <w:rFonts w:ascii="Century Gothic" w:hAnsi="Century Gothic"/>
          <w:b/>
          <w:bCs/>
          <w:sz w:val="22"/>
          <w:szCs w:val="22"/>
          <w:lang w:val="pt-BR"/>
        </w:rPr>
        <w:t xml:space="preserve"> 31 Dhjetor 201</w:t>
      </w:r>
      <w:r w:rsidR="00706954">
        <w:rPr>
          <w:rFonts w:ascii="Century Gothic" w:hAnsi="Century Gothic"/>
          <w:b/>
          <w:bCs/>
          <w:sz w:val="22"/>
          <w:szCs w:val="22"/>
          <w:lang w:val="pt-BR"/>
        </w:rPr>
        <w:t>2</w:t>
      </w:r>
      <w:r w:rsidR="00C055CD">
        <w:rPr>
          <w:rFonts w:ascii="Century Gothic" w:hAnsi="Century Gothic"/>
          <w:b/>
          <w:bCs/>
          <w:sz w:val="22"/>
          <w:szCs w:val="22"/>
          <w:lang w:val="pt-BR"/>
        </w:rPr>
        <w:t xml:space="preserve"> dhe 20</w:t>
      </w:r>
      <w:r w:rsidR="00706954">
        <w:rPr>
          <w:rFonts w:ascii="Century Gothic" w:hAnsi="Century Gothic"/>
          <w:b/>
          <w:bCs/>
          <w:sz w:val="22"/>
          <w:szCs w:val="22"/>
          <w:lang w:val="pt-BR"/>
        </w:rPr>
        <w:t>11</w:t>
      </w:r>
    </w:p>
    <w:p w:rsidR="00706954" w:rsidRPr="00B1225B" w:rsidRDefault="0070695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</w:p>
    <w:p w:rsidR="00B409C4" w:rsidRPr="006F3B3C" w:rsidRDefault="00B409C4" w:rsidP="00B409C4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pt-BR"/>
        </w:rPr>
      </w:pPr>
      <w:r w:rsidRPr="006F3B3C">
        <w:rPr>
          <w:rFonts w:ascii="Century Gothic" w:hAnsi="Century Gothic"/>
          <w:b/>
          <w:bCs/>
          <w:sz w:val="18"/>
          <w:szCs w:val="18"/>
          <w:lang w:val="pt-BR"/>
        </w:rPr>
        <w:t>(Të gjitha balancat janë në lekë</w:t>
      </w:r>
      <w:r>
        <w:rPr>
          <w:rFonts w:ascii="Century Gothic" w:hAnsi="Century Gothic"/>
          <w:b/>
          <w:bCs/>
          <w:sz w:val="18"/>
          <w:szCs w:val="18"/>
          <w:lang w:val="pt-BR"/>
        </w:rPr>
        <w:t>).</w:t>
      </w:r>
    </w:p>
    <w:p w:rsidR="00B409C4" w:rsidRDefault="00B409C4" w:rsidP="00B409C4">
      <w:pPr>
        <w:ind w:left="360"/>
        <w:jc w:val="both"/>
        <w:rPr>
          <w:sz w:val="22"/>
          <w:szCs w:val="22"/>
        </w:rPr>
      </w:pPr>
    </w:p>
    <w:p w:rsidR="00811551" w:rsidRPr="00E54352" w:rsidRDefault="0078454B" w:rsidP="001B6FCD">
      <w:pPr>
        <w:ind w:left="360"/>
        <w:jc w:val="both"/>
        <w:rPr>
          <w:sz w:val="22"/>
          <w:szCs w:val="22"/>
          <w:lang w:val="es-ES"/>
        </w:rPr>
      </w:pPr>
      <w:r w:rsidRPr="00EB2DD9">
        <w:rPr>
          <w:sz w:val="22"/>
          <w:szCs w:val="22"/>
          <w:lang w:val="pt-BR"/>
        </w:rPr>
        <w:t>Vlerat dhe klasifikimi n</w:t>
      </w:r>
      <w:r w:rsidR="0056052F" w:rsidRPr="00EB2DD9">
        <w:rPr>
          <w:sz w:val="22"/>
          <w:szCs w:val="22"/>
          <w:lang w:val="pt-BR"/>
        </w:rPr>
        <w:t>ë</w:t>
      </w:r>
      <w:r w:rsidRPr="00EB2DD9">
        <w:rPr>
          <w:sz w:val="22"/>
          <w:szCs w:val="22"/>
          <w:lang w:val="pt-BR"/>
        </w:rPr>
        <w:t xml:space="preserve"> grupe i  AAM-ve te pasqyruara ne bilanc dhe ne tabelen e mesiperme  jane  te perputhura me te dhenat e kontabilitetit dhe te inventarizimeve fizike qe shoqeria e ka krye</w:t>
      </w:r>
      <w:r w:rsidR="00C055CD">
        <w:rPr>
          <w:sz w:val="22"/>
          <w:szCs w:val="22"/>
          <w:lang w:val="pt-BR"/>
        </w:rPr>
        <w:t>r ne fund te muajit dhjetor 201</w:t>
      </w:r>
      <w:r w:rsidR="001C3F6F">
        <w:rPr>
          <w:sz w:val="22"/>
          <w:szCs w:val="22"/>
          <w:lang w:val="pt-BR"/>
        </w:rPr>
        <w:t>2</w:t>
      </w:r>
      <w:r w:rsidRPr="00EB2DD9">
        <w:rPr>
          <w:sz w:val="22"/>
          <w:szCs w:val="22"/>
          <w:lang w:val="pt-BR"/>
        </w:rPr>
        <w:t>.S</w:t>
      </w:r>
      <w:r w:rsidR="00EE29D3" w:rsidRPr="00EB2DD9">
        <w:rPr>
          <w:sz w:val="22"/>
          <w:szCs w:val="22"/>
          <w:lang w:val="pt-BR"/>
        </w:rPr>
        <w:t>i politike kontabel</w:t>
      </w:r>
      <w:r w:rsidRPr="00EB2DD9">
        <w:rPr>
          <w:sz w:val="22"/>
          <w:szCs w:val="22"/>
          <w:lang w:val="pt-BR"/>
        </w:rPr>
        <w:t xml:space="preserve"> </w:t>
      </w:r>
      <w:r w:rsidR="00117C40" w:rsidRPr="00EB2DD9">
        <w:rPr>
          <w:sz w:val="22"/>
          <w:szCs w:val="22"/>
          <w:lang w:val="pt-BR"/>
        </w:rPr>
        <w:t xml:space="preserve">per </w:t>
      </w:r>
      <w:r w:rsidR="00427FA7" w:rsidRPr="00EB2DD9">
        <w:rPr>
          <w:sz w:val="22"/>
          <w:szCs w:val="22"/>
          <w:lang w:val="pt-BR"/>
        </w:rPr>
        <w:t>kontabilizimin dhe spjegimin</w:t>
      </w:r>
      <w:r w:rsidR="00117C40" w:rsidRPr="00EB2DD9">
        <w:rPr>
          <w:sz w:val="22"/>
          <w:szCs w:val="22"/>
          <w:lang w:val="pt-BR"/>
        </w:rPr>
        <w:t xml:space="preserve"> e AAM-ve</w:t>
      </w:r>
      <w:r w:rsidR="00811551" w:rsidRPr="00EB2DD9">
        <w:rPr>
          <w:sz w:val="22"/>
          <w:szCs w:val="22"/>
          <w:lang w:val="pt-BR"/>
        </w:rPr>
        <w:t>,</w:t>
      </w:r>
      <w:r w:rsidR="00117C40" w:rsidRPr="00EB2DD9">
        <w:rPr>
          <w:sz w:val="22"/>
          <w:szCs w:val="22"/>
          <w:lang w:val="pt-BR"/>
        </w:rPr>
        <w:t xml:space="preserve"> shoqeria</w:t>
      </w:r>
      <w:r w:rsidR="00EE29D3" w:rsidRPr="00EB2DD9">
        <w:rPr>
          <w:sz w:val="22"/>
          <w:szCs w:val="22"/>
          <w:lang w:val="pt-BR"/>
        </w:rPr>
        <w:t xml:space="preserve"> ka zgjedhur </w:t>
      </w:r>
      <w:r w:rsidR="00EE29D3" w:rsidRPr="00E54352">
        <w:rPr>
          <w:sz w:val="22"/>
          <w:szCs w:val="22"/>
          <w:lang w:val="es-ES"/>
        </w:rPr>
        <w:t>modelin e kostos(SNK-5).Vleresimi fillestar ne momentin e marrjes ne inventar eshte bere me koston e marrjes dhe ne daten e mbylljes se bilancit paraqiten me koston e tyre minus amortizimin e akumuluar</w:t>
      </w:r>
      <w:r w:rsidR="009B7F4E" w:rsidRPr="00E54352">
        <w:rPr>
          <w:sz w:val="22"/>
          <w:szCs w:val="22"/>
          <w:lang w:val="es-ES"/>
        </w:rPr>
        <w:t xml:space="preserve"> dhe ndonje humbje te akumuluar nga zhvleresimi.</w:t>
      </w:r>
    </w:p>
    <w:p w:rsidR="009B7F4E" w:rsidRPr="00E54352" w:rsidRDefault="00EE29D3" w:rsidP="001B6FCD">
      <w:pPr>
        <w:ind w:left="360"/>
        <w:jc w:val="both"/>
        <w:rPr>
          <w:sz w:val="22"/>
          <w:szCs w:val="22"/>
          <w:lang w:val="es-ES"/>
        </w:rPr>
      </w:pPr>
      <w:r w:rsidRPr="00E54352">
        <w:rPr>
          <w:sz w:val="22"/>
          <w:szCs w:val="22"/>
          <w:lang w:val="es-ES"/>
        </w:rPr>
        <w:t>Drejtimi mendon se pergjithesisht</w:t>
      </w:r>
      <w:r w:rsidR="009B7F4E" w:rsidRPr="00E54352">
        <w:rPr>
          <w:sz w:val="22"/>
          <w:szCs w:val="22"/>
          <w:lang w:val="es-ES"/>
        </w:rPr>
        <w:t xml:space="preserve"> per kete ushtrim kontabel,</w:t>
      </w:r>
      <w:r w:rsidR="00E54352" w:rsidRPr="00E54352">
        <w:rPr>
          <w:sz w:val="22"/>
          <w:szCs w:val="22"/>
          <w:lang w:val="es-ES"/>
        </w:rPr>
        <w:t xml:space="preserve"> nuk ka shenja te reni</w:t>
      </w:r>
      <w:r w:rsidRPr="00E54352">
        <w:rPr>
          <w:sz w:val="22"/>
          <w:szCs w:val="22"/>
          <w:lang w:val="es-ES"/>
        </w:rPr>
        <w:t>es ne vlere te AAM-ve dhe nuk ka llogaritur zhvleresime</w:t>
      </w:r>
      <w:r w:rsidR="009B7F4E" w:rsidRPr="00E54352">
        <w:rPr>
          <w:sz w:val="22"/>
          <w:szCs w:val="22"/>
          <w:lang w:val="es-ES"/>
        </w:rPr>
        <w:t>.</w:t>
      </w:r>
    </w:p>
    <w:p w:rsidR="00693444" w:rsidRPr="00E54352" w:rsidRDefault="00693444" w:rsidP="001B6FCD">
      <w:pPr>
        <w:ind w:left="360"/>
        <w:jc w:val="both"/>
        <w:rPr>
          <w:sz w:val="22"/>
          <w:szCs w:val="22"/>
          <w:lang w:val="es-ES"/>
        </w:rPr>
      </w:pPr>
      <w:r w:rsidRPr="00E54352">
        <w:rPr>
          <w:sz w:val="22"/>
          <w:szCs w:val="22"/>
          <w:lang w:val="es-ES"/>
        </w:rPr>
        <w:t>Metoda</w:t>
      </w:r>
      <w:r w:rsidR="009B7F4E" w:rsidRPr="00E54352">
        <w:rPr>
          <w:sz w:val="22"/>
          <w:szCs w:val="22"/>
          <w:lang w:val="es-ES"/>
        </w:rPr>
        <w:t>t</w:t>
      </w:r>
      <w:r w:rsidRPr="00E54352">
        <w:rPr>
          <w:sz w:val="22"/>
          <w:szCs w:val="22"/>
          <w:lang w:val="es-ES"/>
        </w:rPr>
        <w:t xml:space="preserve"> dhe normat e amortizimit te </w:t>
      </w:r>
      <w:r w:rsidR="009B7F4E" w:rsidRPr="00E54352">
        <w:rPr>
          <w:sz w:val="22"/>
          <w:szCs w:val="22"/>
          <w:lang w:val="es-ES"/>
        </w:rPr>
        <w:t>AAM-ve te perdorura jane</w:t>
      </w:r>
      <w:r w:rsidRPr="00E54352">
        <w:rPr>
          <w:sz w:val="22"/>
          <w:szCs w:val="22"/>
          <w:lang w:val="es-ES"/>
        </w:rPr>
        <w:t xml:space="preserve"> njejta me ato qe perdoren per qellime fiskale.</w:t>
      </w:r>
      <w:r w:rsidR="00E54352" w:rsidRPr="00E54352">
        <w:rPr>
          <w:sz w:val="22"/>
          <w:szCs w:val="22"/>
          <w:lang w:val="es-ES"/>
        </w:rPr>
        <w:t xml:space="preserve"> </w:t>
      </w:r>
      <w:r w:rsidR="007168B8" w:rsidRPr="00E54352">
        <w:rPr>
          <w:sz w:val="22"/>
          <w:szCs w:val="22"/>
          <w:lang w:val="es-ES"/>
        </w:rPr>
        <w:t>(shih shenimin nr.2)</w:t>
      </w:r>
      <w:r w:rsidRPr="00E54352">
        <w:rPr>
          <w:sz w:val="22"/>
          <w:szCs w:val="22"/>
          <w:lang w:val="es-ES"/>
        </w:rPr>
        <w:t>Masa e llogaritur e amortizimit si shpenzim nuk i tejkalon kufijte e njohur per efekte fiskale.</w:t>
      </w:r>
    </w:p>
    <w:p w:rsidR="00752BA9" w:rsidRPr="00EB2DD9" w:rsidRDefault="00752BA9" w:rsidP="001B6FCD">
      <w:pPr>
        <w:ind w:left="360"/>
        <w:jc w:val="both"/>
        <w:rPr>
          <w:b/>
          <w:lang w:val="it-IT"/>
        </w:rPr>
      </w:pPr>
    </w:p>
    <w:p w:rsidR="00733E39" w:rsidRPr="00361EC2" w:rsidRDefault="00CE21CD" w:rsidP="001B6FCD">
      <w:pPr>
        <w:numPr>
          <w:ilvl w:val="0"/>
          <w:numId w:val="1"/>
        </w:numPr>
        <w:jc w:val="both"/>
        <w:rPr>
          <w:b/>
          <w:lang w:val="it-IT"/>
        </w:rPr>
      </w:pPr>
      <w:r w:rsidRPr="00EB2DD9">
        <w:rPr>
          <w:b/>
          <w:sz w:val="22"/>
          <w:szCs w:val="22"/>
          <w:u w:val="single"/>
          <w:lang w:val="it-IT"/>
        </w:rPr>
        <w:t>Detyrime afatshkurtera-</w:t>
      </w:r>
      <w:r w:rsidR="00012D03" w:rsidRPr="00EB2DD9">
        <w:rPr>
          <w:b/>
          <w:sz w:val="22"/>
          <w:szCs w:val="22"/>
          <w:u w:val="single"/>
          <w:lang w:val="it-IT"/>
        </w:rPr>
        <w:t>Huamarrjet</w:t>
      </w:r>
    </w:p>
    <w:p w:rsidR="00361EC2" w:rsidRPr="00EB2DD9" w:rsidRDefault="00361EC2" w:rsidP="00361EC2">
      <w:pPr>
        <w:jc w:val="both"/>
        <w:rPr>
          <w:b/>
          <w:lang w:val="it-IT"/>
        </w:rPr>
      </w:pPr>
    </w:p>
    <w:p w:rsidR="00012D03" w:rsidRPr="00EB2DD9" w:rsidRDefault="00012D03" w:rsidP="001B6FCD">
      <w:pPr>
        <w:ind w:left="360"/>
        <w:jc w:val="both"/>
        <w:rPr>
          <w:b/>
          <w:lang w:val="it-IT"/>
        </w:rPr>
      </w:pPr>
    </w:p>
    <w:p w:rsidR="00FB0D74" w:rsidRPr="00EB2DD9" w:rsidRDefault="00752BA9" w:rsidP="001B6FCD">
      <w:pPr>
        <w:ind w:left="360"/>
        <w:jc w:val="both"/>
        <w:rPr>
          <w:lang w:val="it-IT"/>
        </w:rPr>
      </w:pPr>
      <w:r w:rsidRPr="00EB2DD9">
        <w:rPr>
          <w:lang w:val="it-IT"/>
        </w:rPr>
        <w:t xml:space="preserve">Huate dhe parapagimet </w:t>
      </w:r>
      <w:r w:rsidR="006A1E87">
        <w:rPr>
          <w:lang w:val="it-IT"/>
        </w:rPr>
        <w:t>afat</w:t>
      </w:r>
      <w:r w:rsidR="008E785E" w:rsidRPr="00EB2DD9">
        <w:rPr>
          <w:lang w:val="it-IT"/>
        </w:rPr>
        <w:t>shkurtera</w:t>
      </w:r>
      <w:r w:rsidR="00FB0D74" w:rsidRPr="00EB2DD9">
        <w:rPr>
          <w:lang w:val="it-IT"/>
        </w:rPr>
        <w:t xml:space="preserve"> </w:t>
      </w:r>
      <w:r w:rsidR="00733E39" w:rsidRPr="00EB2DD9">
        <w:rPr>
          <w:lang w:val="it-IT"/>
        </w:rPr>
        <w:t>ne fillim dhe n</w:t>
      </w:r>
      <w:r w:rsidR="00E237D6">
        <w:rPr>
          <w:lang w:val="it-IT"/>
        </w:rPr>
        <w:t>e fund te ushtrimit kontabel 201</w:t>
      </w:r>
      <w:r w:rsidR="0081330B">
        <w:rPr>
          <w:lang w:val="it-IT"/>
        </w:rPr>
        <w:t>2,</w:t>
      </w:r>
      <w:r w:rsidR="005212D6">
        <w:rPr>
          <w:lang w:val="it-IT"/>
        </w:rPr>
        <w:t xml:space="preserve"> </w:t>
      </w:r>
      <w:r w:rsidR="00733E39" w:rsidRPr="00EB2DD9">
        <w:rPr>
          <w:lang w:val="it-IT"/>
        </w:rPr>
        <w:t>paraqiten si vijon:</w:t>
      </w:r>
    </w:p>
    <w:p w:rsidR="0006356D" w:rsidRPr="00EB2DD9" w:rsidRDefault="0081330B" w:rsidP="001B6FCD">
      <w:pPr>
        <w:ind w:left="360"/>
        <w:jc w:val="both"/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w:pict>
          <v:shape id="_x0000_s1066" type="#_x0000_t75" style="position:absolute;left:0;text-align:left;margin-left:0;margin-top:0;width:418.4pt;height:103.35pt;z-index:251658240;mso-position-horizontal:left">
            <v:imagedata r:id="rId22" o:title=""/>
            <w10:wrap type="square" side="right"/>
          </v:shape>
          <o:OLEObject Type="Embed" ProgID="Excel.Sheet.8" ShapeID="_x0000_s1066" DrawAspect="Content" ObjectID="_1700743866" r:id="rId23"/>
        </w:pict>
      </w:r>
    </w:p>
    <w:p w:rsidR="00AF4FF9" w:rsidRDefault="00AF4FF9" w:rsidP="00AF528F">
      <w:pPr>
        <w:pStyle w:val="BodyText"/>
        <w:ind w:left="360"/>
        <w:rPr>
          <w:sz w:val="22"/>
          <w:szCs w:val="22"/>
          <w:lang w:val="it-IT"/>
        </w:rPr>
      </w:pPr>
    </w:p>
    <w:p w:rsidR="00246512" w:rsidRPr="007F1EE2" w:rsidRDefault="00246512" w:rsidP="00AF528F">
      <w:pPr>
        <w:pStyle w:val="BodyText"/>
        <w:ind w:left="360"/>
        <w:rPr>
          <w:sz w:val="22"/>
          <w:szCs w:val="22"/>
          <w:lang w:val="it-IT"/>
        </w:rPr>
      </w:pPr>
      <w:r w:rsidRPr="00EB2DD9">
        <w:rPr>
          <w:sz w:val="22"/>
          <w:szCs w:val="22"/>
          <w:lang w:val="it-IT"/>
        </w:rPr>
        <w:lastRenderedPageBreak/>
        <w:t xml:space="preserve"> </w:t>
      </w:r>
      <w:r w:rsidRPr="007F1EE2">
        <w:rPr>
          <w:sz w:val="22"/>
          <w:szCs w:val="22"/>
          <w:lang w:val="it-IT"/>
        </w:rPr>
        <w:t>“</w:t>
      </w:r>
      <w:r w:rsidR="002328EA" w:rsidRPr="007F1EE2">
        <w:rPr>
          <w:sz w:val="22"/>
          <w:szCs w:val="22"/>
          <w:lang w:val="it-IT"/>
        </w:rPr>
        <w:t>Huate</w:t>
      </w:r>
      <w:r w:rsidR="00FE66D1" w:rsidRPr="007F1EE2">
        <w:rPr>
          <w:sz w:val="22"/>
          <w:szCs w:val="22"/>
          <w:lang w:val="it-IT"/>
        </w:rPr>
        <w:t xml:space="preserve"> </w:t>
      </w:r>
      <w:r w:rsidR="00D11DD2" w:rsidRPr="007F1EE2">
        <w:rPr>
          <w:sz w:val="22"/>
          <w:szCs w:val="22"/>
          <w:lang w:val="it-IT"/>
        </w:rPr>
        <w:t>afatshkurte</w:t>
      </w:r>
      <w:r w:rsidR="002328EA" w:rsidRPr="007F1EE2">
        <w:rPr>
          <w:sz w:val="22"/>
          <w:szCs w:val="22"/>
          <w:lang w:val="it-IT"/>
        </w:rPr>
        <w:t>ra</w:t>
      </w:r>
      <w:r w:rsidRPr="007F1EE2">
        <w:rPr>
          <w:sz w:val="22"/>
          <w:szCs w:val="22"/>
          <w:lang w:val="it-IT"/>
        </w:rPr>
        <w:t xml:space="preserve">” </w:t>
      </w:r>
      <w:r w:rsidR="00A56A24" w:rsidRPr="007F1EE2">
        <w:rPr>
          <w:sz w:val="22"/>
          <w:szCs w:val="22"/>
          <w:lang w:val="it-IT"/>
        </w:rPr>
        <w:t>perfaqeso</w:t>
      </w:r>
      <w:r w:rsidR="002328EA" w:rsidRPr="007F1EE2">
        <w:rPr>
          <w:sz w:val="22"/>
          <w:szCs w:val="22"/>
          <w:lang w:val="it-IT"/>
        </w:rPr>
        <w:t>j</w:t>
      </w:r>
      <w:r w:rsidR="00A56A24" w:rsidRPr="007F1EE2">
        <w:rPr>
          <w:sz w:val="22"/>
          <w:szCs w:val="22"/>
          <w:lang w:val="it-IT"/>
        </w:rPr>
        <w:t>n</w:t>
      </w:r>
      <w:r w:rsidR="00D11DD2" w:rsidRPr="007F1EE2">
        <w:rPr>
          <w:sz w:val="22"/>
          <w:szCs w:val="22"/>
          <w:lang w:val="it-IT"/>
        </w:rPr>
        <w:t>e</w:t>
      </w:r>
      <w:r w:rsidR="00A56A24" w:rsidRPr="007F1EE2">
        <w:rPr>
          <w:sz w:val="22"/>
          <w:szCs w:val="22"/>
          <w:lang w:val="it-IT"/>
        </w:rPr>
        <w:t xml:space="preserve"> </w:t>
      </w:r>
      <w:r w:rsidR="00D11DD2" w:rsidRPr="007F1EE2">
        <w:rPr>
          <w:sz w:val="22"/>
          <w:szCs w:val="22"/>
          <w:lang w:val="it-IT"/>
        </w:rPr>
        <w:t xml:space="preserve">Overdraftin e marre nga Banka UNION ne shumen prej </w:t>
      </w:r>
      <w:r w:rsidR="007F1EE2" w:rsidRPr="007F1EE2">
        <w:rPr>
          <w:sz w:val="22"/>
          <w:szCs w:val="22"/>
          <w:lang w:val="it-IT"/>
        </w:rPr>
        <w:t>381.937.98</w:t>
      </w:r>
      <w:r w:rsidR="00565188" w:rsidRPr="007F1EE2">
        <w:rPr>
          <w:sz w:val="22"/>
          <w:szCs w:val="22"/>
          <w:lang w:val="it-IT"/>
        </w:rPr>
        <w:t xml:space="preserve"> </w:t>
      </w:r>
      <w:r w:rsidR="00D11DD2" w:rsidRPr="007F1EE2">
        <w:rPr>
          <w:sz w:val="22"/>
          <w:szCs w:val="22"/>
          <w:lang w:val="it-IT"/>
        </w:rPr>
        <w:t>€ te konvertuar me kursin e zyrtar te kembimit te Bankes se Shqiperise</w:t>
      </w:r>
      <w:r w:rsidR="00A56A24" w:rsidRPr="007F1EE2">
        <w:rPr>
          <w:sz w:val="22"/>
          <w:szCs w:val="22"/>
          <w:lang w:val="it-IT"/>
        </w:rPr>
        <w:t xml:space="preserve"> </w:t>
      </w:r>
      <w:r w:rsidR="007F1EE2" w:rsidRPr="007F1EE2">
        <w:rPr>
          <w:sz w:val="22"/>
          <w:szCs w:val="22"/>
          <w:lang w:val="it-IT"/>
        </w:rPr>
        <w:t>.</w:t>
      </w:r>
      <w:r w:rsidR="00361EC2">
        <w:rPr>
          <w:sz w:val="22"/>
          <w:szCs w:val="22"/>
          <w:lang w:val="it-IT"/>
        </w:rPr>
        <w:t xml:space="preserve">Per vitin 2012  ky detyrim(OD)eshte raportuar ne AKTIV me vlere negative sipas gjendjes se bankes UNION ne 31.12.2012 </w:t>
      </w:r>
      <w:r w:rsidR="006866AC" w:rsidRPr="006866AC">
        <w:rPr>
          <w:b/>
          <w:sz w:val="22"/>
          <w:szCs w:val="22"/>
          <w:lang w:val="it-IT"/>
        </w:rPr>
        <w:t>(  -396</w:t>
      </w:r>
      <w:r w:rsidR="006866AC">
        <w:rPr>
          <w:b/>
          <w:sz w:val="22"/>
          <w:szCs w:val="22"/>
          <w:lang w:val="it-IT"/>
        </w:rPr>
        <w:t>.</w:t>
      </w:r>
      <w:r w:rsidR="006866AC" w:rsidRPr="006866AC">
        <w:rPr>
          <w:b/>
          <w:sz w:val="22"/>
          <w:szCs w:val="22"/>
          <w:lang w:val="it-IT"/>
        </w:rPr>
        <w:t>099.1</w:t>
      </w:r>
      <w:r w:rsidR="006866AC">
        <w:rPr>
          <w:b/>
          <w:sz w:val="22"/>
          <w:szCs w:val="22"/>
          <w:lang w:val="it-IT"/>
        </w:rPr>
        <w:t>0</w:t>
      </w:r>
      <w:r w:rsidR="006866AC">
        <w:rPr>
          <w:sz w:val="22"/>
          <w:szCs w:val="22"/>
          <w:lang w:val="it-IT"/>
        </w:rPr>
        <w:t>)</w:t>
      </w:r>
    </w:p>
    <w:p w:rsidR="00B52255" w:rsidRPr="007F1EE2" w:rsidRDefault="00B52255" w:rsidP="001B6FCD">
      <w:pPr>
        <w:tabs>
          <w:tab w:val="left" w:pos="360"/>
          <w:tab w:val="left" w:pos="426"/>
        </w:tabs>
        <w:ind w:left="360"/>
        <w:jc w:val="both"/>
        <w:rPr>
          <w:sz w:val="22"/>
          <w:szCs w:val="22"/>
          <w:lang w:val="it-IT"/>
        </w:rPr>
      </w:pPr>
    </w:p>
    <w:p w:rsidR="00012D03" w:rsidRPr="00EB2DD9" w:rsidRDefault="00012D03" w:rsidP="001B6FCD">
      <w:pPr>
        <w:numPr>
          <w:ilvl w:val="0"/>
          <w:numId w:val="1"/>
        </w:numPr>
        <w:jc w:val="both"/>
        <w:rPr>
          <w:b/>
          <w:lang w:val="it-IT"/>
        </w:rPr>
      </w:pPr>
      <w:r w:rsidRPr="00EB2DD9">
        <w:rPr>
          <w:b/>
          <w:sz w:val="22"/>
          <w:szCs w:val="22"/>
          <w:u w:val="single"/>
          <w:lang w:val="it-IT"/>
        </w:rPr>
        <w:t>Detyrime afatshkurtera-Huate dhe parapagimet</w:t>
      </w:r>
    </w:p>
    <w:p w:rsidR="00012D03" w:rsidRPr="00EB2DD9" w:rsidRDefault="00012D03" w:rsidP="001B6FCD">
      <w:pPr>
        <w:ind w:left="360"/>
        <w:jc w:val="both"/>
        <w:rPr>
          <w:b/>
          <w:lang w:val="it-IT"/>
        </w:rPr>
      </w:pPr>
    </w:p>
    <w:p w:rsidR="00012D03" w:rsidRPr="00EB2DD9" w:rsidRDefault="00012D03" w:rsidP="001B6FCD">
      <w:pPr>
        <w:ind w:left="360"/>
        <w:jc w:val="both"/>
        <w:rPr>
          <w:lang w:val="it-IT"/>
        </w:rPr>
      </w:pPr>
      <w:r w:rsidRPr="00EB2DD9">
        <w:rPr>
          <w:lang w:val="it-IT"/>
        </w:rPr>
        <w:t>Huate dhe parapagimet afateshkurtera ne fillim dhe n</w:t>
      </w:r>
      <w:r w:rsidR="00565188">
        <w:rPr>
          <w:lang w:val="it-IT"/>
        </w:rPr>
        <w:t>e fund te ushtrimit kontabel 201</w:t>
      </w:r>
      <w:r w:rsidR="00A86F70">
        <w:rPr>
          <w:lang w:val="it-IT"/>
        </w:rPr>
        <w:t>2</w:t>
      </w:r>
      <w:r w:rsidRPr="00EB2DD9">
        <w:rPr>
          <w:lang w:val="it-IT"/>
        </w:rPr>
        <w:t xml:space="preserve"> paraqiten si vijon:</w:t>
      </w:r>
    </w:p>
    <w:p w:rsidR="00D11DD2" w:rsidRPr="00674B1D" w:rsidRDefault="008C512C" w:rsidP="00942FBB">
      <w:pPr>
        <w:tabs>
          <w:tab w:val="right" w:pos="10197"/>
        </w:tabs>
        <w:ind w:left="360"/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 </w:t>
      </w:r>
      <w:r w:rsidR="00674B1D" w:rsidRPr="00EB2DD9">
        <w:rPr>
          <w:b/>
          <w:sz w:val="20"/>
          <w:szCs w:val="20"/>
          <w:lang w:val="it-IT"/>
        </w:rPr>
        <w:object w:dxaOrig="9384" w:dyaOrig="2634">
          <v:shape id="_x0000_i1031" type="#_x0000_t75" style="width:469.05pt;height:131.9pt" o:ole="">
            <v:imagedata r:id="rId24" o:title=""/>
          </v:shape>
          <o:OLEObject Type="Embed" ProgID="Excel.Sheet.8" ShapeID="_x0000_i1031" DrawAspect="Content" ObjectID="_1700743859" r:id="rId25"/>
        </w:object>
      </w:r>
      <w:r w:rsidR="00942FBB">
        <w:rPr>
          <w:b/>
          <w:sz w:val="20"/>
          <w:szCs w:val="20"/>
          <w:lang w:val="it-IT"/>
        </w:rPr>
        <w:tab/>
      </w:r>
    </w:p>
    <w:p w:rsidR="002C0D35" w:rsidRDefault="002C0D35" w:rsidP="001B6FCD">
      <w:pPr>
        <w:ind w:left="360"/>
        <w:jc w:val="both"/>
        <w:rPr>
          <w:sz w:val="22"/>
          <w:szCs w:val="22"/>
          <w:lang w:val="pt-BR"/>
        </w:rPr>
      </w:pPr>
    </w:p>
    <w:p w:rsidR="00AF528F" w:rsidRDefault="00C97625" w:rsidP="00AF528F">
      <w:pPr>
        <w:ind w:left="360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 xml:space="preserve"> </w:t>
      </w:r>
      <w:r w:rsidR="0006356D" w:rsidRPr="00EB2DD9">
        <w:rPr>
          <w:sz w:val="22"/>
          <w:szCs w:val="22"/>
          <w:lang w:val="pt-BR"/>
        </w:rPr>
        <w:t>“</w:t>
      </w:r>
      <w:r w:rsidR="0006356D" w:rsidRPr="00EB2DD9">
        <w:rPr>
          <w:sz w:val="22"/>
          <w:szCs w:val="22"/>
          <w:lang w:val="it-IT"/>
        </w:rPr>
        <w:t>Të pagueshme ndaj furnitorëve</w:t>
      </w:r>
      <w:r w:rsidR="0006356D" w:rsidRPr="00EB2DD9">
        <w:rPr>
          <w:sz w:val="22"/>
          <w:szCs w:val="22"/>
          <w:lang w:val="pt-BR"/>
        </w:rPr>
        <w:t>” pasqyron detyrimet ndaj furnitoreve per blerjen e mallrave e sherbimeve pa u likujduar ne fund te ushtrimit.</w:t>
      </w:r>
      <w:r w:rsidR="00960A5B" w:rsidRPr="00EB2DD9">
        <w:rPr>
          <w:sz w:val="22"/>
          <w:szCs w:val="22"/>
          <w:lang w:val="pt-BR"/>
        </w:rPr>
        <w:t xml:space="preserve"> </w:t>
      </w:r>
      <w:r w:rsidR="008D1D84">
        <w:rPr>
          <w:sz w:val="22"/>
          <w:szCs w:val="22"/>
          <w:lang w:val="pt-BR"/>
        </w:rPr>
        <w:t>E shoqeruar kjo me listen perkatese te furnitoreve .</w:t>
      </w:r>
    </w:p>
    <w:p w:rsidR="007A75BB" w:rsidRDefault="00960A5B" w:rsidP="00AF528F">
      <w:pPr>
        <w:ind w:left="360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>Te pagueshme ndaj punonjesve” pasqyron detyrimet e sh</w:t>
      </w:r>
      <w:r w:rsidR="00E9641D">
        <w:rPr>
          <w:sz w:val="22"/>
          <w:szCs w:val="22"/>
          <w:lang w:val="pt-BR"/>
        </w:rPr>
        <w:t xml:space="preserve">oqerise ndaj personelit per </w:t>
      </w:r>
      <w:r w:rsidR="008D1D84">
        <w:rPr>
          <w:sz w:val="22"/>
          <w:szCs w:val="22"/>
          <w:lang w:val="pt-BR"/>
        </w:rPr>
        <w:t>pagat e dhjetorit</w:t>
      </w:r>
      <w:r w:rsidR="00D3249F">
        <w:rPr>
          <w:sz w:val="22"/>
          <w:szCs w:val="22"/>
          <w:lang w:val="pt-BR"/>
        </w:rPr>
        <w:t xml:space="preserve"> 2012</w:t>
      </w:r>
      <w:r w:rsidR="008D1D84">
        <w:rPr>
          <w:sz w:val="22"/>
          <w:szCs w:val="22"/>
          <w:lang w:val="pt-BR"/>
        </w:rPr>
        <w:t xml:space="preserve"> 141.688 dhe </w:t>
      </w:r>
      <w:r w:rsidR="00D3249F">
        <w:rPr>
          <w:sz w:val="22"/>
          <w:szCs w:val="22"/>
          <w:lang w:val="pt-BR"/>
        </w:rPr>
        <w:t>93.800 pasqyr</w:t>
      </w:r>
      <w:r w:rsidR="004E2D3F">
        <w:rPr>
          <w:sz w:val="22"/>
          <w:szCs w:val="22"/>
          <w:lang w:val="pt-BR"/>
        </w:rPr>
        <w:t>on detyrimin ndaj nje punonjesi</w:t>
      </w:r>
      <w:r w:rsidR="00D3249F">
        <w:rPr>
          <w:sz w:val="22"/>
          <w:szCs w:val="22"/>
          <w:lang w:val="pt-BR"/>
        </w:rPr>
        <w:t xml:space="preserve"> pe</w:t>
      </w:r>
      <w:r w:rsidR="004E2D3F">
        <w:rPr>
          <w:sz w:val="22"/>
          <w:szCs w:val="22"/>
          <w:lang w:val="pt-BR"/>
        </w:rPr>
        <w:t>r</w:t>
      </w:r>
      <w:r w:rsidR="00D3249F">
        <w:rPr>
          <w:sz w:val="22"/>
          <w:szCs w:val="22"/>
          <w:lang w:val="pt-BR"/>
        </w:rPr>
        <w:t xml:space="preserve"> raport mjekesor</w:t>
      </w:r>
      <w:r w:rsidR="00674B1D">
        <w:rPr>
          <w:sz w:val="22"/>
          <w:szCs w:val="22"/>
          <w:lang w:val="pt-BR"/>
        </w:rPr>
        <w:t>,ndersa 49104 perfaqeson detyrimin per kontribitet e punonjesve sig shoqr e shendts.</w:t>
      </w:r>
      <w:r w:rsidR="00CA16DF">
        <w:rPr>
          <w:sz w:val="22"/>
          <w:szCs w:val="22"/>
          <w:lang w:val="pt-BR"/>
        </w:rPr>
        <w:t>te muajit dhjetor ,paguar ne janar 2013</w:t>
      </w:r>
    </w:p>
    <w:p w:rsidR="00D3249F" w:rsidRDefault="00D3249F" w:rsidP="00AF528F">
      <w:pPr>
        <w:ind w:left="36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Ne zerin detyrime tatimore eshte e perfshire tvsh e muajit dhjetor prej 8213 leke dhe tatim mbi page i dhjetorit 14.600 leke.</w:t>
      </w:r>
    </w:p>
    <w:p w:rsidR="00D3249F" w:rsidRDefault="00D3249F" w:rsidP="00AF528F">
      <w:pPr>
        <w:ind w:left="36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Ne zerin </w:t>
      </w:r>
      <w:r w:rsidRPr="00386264">
        <w:rPr>
          <w:b/>
          <w:lang w:val="pt-BR"/>
        </w:rPr>
        <w:t>Huara te tjera</w:t>
      </w:r>
      <w:r>
        <w:rPr>
          <w:sz w:val="22"/>
          <w:szCs w:val="22"/>
          <w:lang w:val="pt-BR"/>
        </w:rPr>
        <w:t xml:space="preserve"> kem</w:t>
      </w:r>
      <w:r w:rsidR="002D043A">
        <w:rPr>
          <w:sz w:val="22"/>
          <w:szCs w:val="22"/>
          <w:lang w:val="pt-BR"/>
        </w:rPr>
        <w:t>;</w:t>
      </w:r>
      <w:r w:rsidR="002D043A" w:rsidRPr="00AC61CF">
        <w:rPr>
          <w:b/>
          <w:sz w:val="22"/>
          <w:szCs w:val="22"/>
          <w:lang w:val="pt-BR"/>
        </w:rPr>
        <w:t>8.578.994</w:t>
      </w:r>
      <w:r w:rsidR="002D043A">
        <w:rPr>
          <w:sz w:val="22"/>
          <w:szCs w:val="22"/>
          <w:lang w:val="pt-BR"/>
        </w:rPr>
        <w:t xml:space="preserve"> leke huara dhe kredi </w:t>
      </w:r>
      <w:r w:rsidR="00AC61CF">
        <w:rPr>
          <w:sz w:val="22"/>
          <w:szCs w:val="22"/>
          <w:lang w:val="pt-BR"/>
        </w:rPr>
        <w:t xml:space="preserve">nga te cilet </w:t>
      </w:r>
      <w:r>
        <w:rPr>
          <w:sz w:val="22"/>
          <w:szCs w:val="22"/>
          <w:lang w:val="pt-BR"/>
        </w:rPr>
        <w:t xml:space="preserve"> 5.583.800 leke  hua te perkoheshme nga “ALB Adritatik” shpk,ndersa 2.995.194 hua te mare (Kredi) nga Union bank</w:t>
      </w: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2.ne kete ze eshte e perfshire edhe detyrimi i shoqerise ndaj ortakeve prej </w:t>
      </w:r>
      <w:r w:rsidRPr="00AC61CF">
        <w:rPr>
          <w:b/>
          <w:sz w:val="22"/>
          <w:szCs w:val="22"/>
          <w:lang w:val="pt-BR"/>
        </w:rPr>
        <w:t>155.486.075</w:t>
      </w:r>
      <w:r>
        <w:rPr>
          <w:sz w:val="22"/>
          <w:szCs w:val="22"/>
          <w:lang w:val="pt-BR"/>
        </w:rPr>
        <w:t xml:space="preserve"> leke </w:t>
      </w:r>
    </w:p>
    <w:p w:rsidR="00386264" w:rsidRDefault="00386264" w:rsidP="002D043A">
      <w:pPr>
        <w:ind w:left="36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3.Detyrimi ndaj klienteve per parapagime te arketuara eshte </w:t>
      </w:r>
      <w:r w:rsidR="00942FBB" w:rsidRPr="00AC61CF">
        <w:rPr>
          <w:b/>
          <w:sz w:val="22"/>
          <w:szCs w:val="22"/>
          <w:lang w:val="pt-BR"/>
        </w:rPr>
        <w:t>2</w:t>
      </w:r>
      <w:r w:rsidRPr="00AC61CF">
        <w:rPr>
          <w:b/>
          <w:sz w:val="22"/>
          <w:szCs w:val="22"/>
          <w:lang w:val="pt-BR"/>
        </w:rPr>
        <w:t>08.945</w:t>
      </w:r>
      <w:r w:rsidR="002D043A" w:rsidRPr="00AC61CF">
        <w:rPr>
          <w:b/>
          <w:sz w:val="22"/>
          <w:szCs w:val="22"/>
          <w:lang w:val="pt-BR"/>
        </w:rPr>
        <w:t>.</w:t>
      </w:r>
      <w:r w:rsidRPr="00AC61CF">
        <w:rPr>
          <w:b/>
          <w:sz w:val="22"/>
          <w:szCs w:val="22"/>
          <w:lang w:val="pt-BR"/>
        </w:rPr>
        <w:t>907</w:t>
      </w:r>
      <w:r>
        <w:rPr>
          <w:sz w:val="22"/>
          <w:szCs w:val="22"/>
          <w:lang w:val="pt-BR"/>
        </w:rPr>
        <w:t xml:space="preserve"> leke </w:t>
      </w:r>
      <w:r w:rsidR="00942FBB">
        <w:rPr>
          <w:sz w:val="22"/>
          <w:szCs w:val="22"/>
          <w:lang w:val="pt-BR"/>
        </w:rPr>
        <w:t xml:space="preserve">,ndersa </w:t>
      </w:r>
      <w:r>
        <w:rPr>
          <w:sz w:val="22"/>
          <w:szCs w:val="22"/>
          <w:lang w:val="pt-BR"/>
        </w:rPr>
        <w:t xml:space="preserve"> detyrimi ndaj shoqerive </w:t>
      </w:r>
      <w:r w:rsidR="002D043A">
        <w:rPr>
          <w:sz w:val="22"/>
          <w:szCs w:val="22"/>
          <w:lang w:val="pt-BR"/>
        </w:rPr>
        <w:t xml:space="preserve">te tjera </w:t>
      </w:r>
      <w:r>
        <w:rPr>
          <w:sz w:val="22"/>
          <w:szCs w:val="22"/>
          <w:lang w:val="pt-BR"/>
        </w:rPr>
        <w:t xml:space="preserve">per punime e mallra te blera me klering </w:t>
      </w:r>
      <w:r w:rsidR="002D043A" w:rsidRPr="00AC61CF">
        <w:rPr>
          <w:b/>
          <w:sz w:val="22"/>
          <w:szCs w:val="22"/>
          <w:lang w:val="pt-BR"/>
        </w:rPr>
        <w:t>205.399.626</w:t>
      </w:r>
      <w:r w:rsidR="003A67F2">
        <w:rPr>
          <w:sz w:val="22"/>
          <w:szCs w:val="22"/>
          <w:lang w:val="pt-BR"/>
        </w:rPr>
        <w:t xml:space="preserve"> </w:t>
      </w:r>
      <w:r w:rsidR="00942FBB">
        <w:rPr>
          <w:sz w:val="22"/>
          <w:szCs w:val="22"/>
          <w:lang w:val="pt-BR"/>
        </w:rPr>
        <w:t xml:space="preserve"> leke</w:t>
      </w:r>
    </w:p>
    <w:p w:rsidR="002D043A" w:rsidRDefault="002D043A" w:rsidP="002D043A">
      <w:pPr>
        <w:ind w:left="36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Nga te cilat 35.192.172 jane blere materiale per </w:t>
      </w:r>
      <w:r w:rsidR="00AC61CF">
        <w:rPr>
          <w:sz w:val="22"/>
          <w:szCs w:val="22"/>
          <w:lang w:val="pt-BR"/>
        </w:rPr>
        <w:t>tu likuiduar me apartamente .</w:t>
      </w:r>
      <w:r>
        <w:rPr>
          <w:sz w:val="22"/>
          <w:szCs w:val="22"/>
          <w:lang w:val="pt-BR"/>
        </w:rPr>
        <w:t xml:space="preserve"> </w:t>
      </w: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386264" w:rsidRDefault="00386264" w:rsidP="00AF528F">
      <w:pPr>
        <w:ind w:left="360"/>
        <w:jc w:val="both"/>
        <w:rPr>
          <w:sz w:val="22"/>
          <w:szCs w:val="22"/>
          <w:lang w:val="pt-BR"/>
        </w:rPr>
      </w:pPr>
    </w:p>
    <w:p w:rsidR="00B409C4" w:rsidRPr="006F3B3C" w:rsidRDefault="00B409C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t>S</w:t>
      </w:r>
      <w:r>
        <w:rPr>
          <w:rFonts w:ascii="Century Gothic" w:hAnsi="Century Gothic"/>
          <w:b/>
          <w:bCs/>
          <w:sz w:val="22"/>
          <w:szCs w:val="22"/>
          <w:lang w:val="nl-NL"/>
        </w:rPr>
        <w:t xml:space="preserve">HENIME PER PASQYRAT FINANCIARE </w:t>
      </w:r>
    </w:p>
    <w:p w:rsidR="0050767D" w:rsidRPr="00B1225B" w:rsidRDefault="00B409C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>vitet ushtrimor te mbyllur më</w:t>
      </w:r>
      <w:r w:rsidR="00C5191F">
        <w:rPr>
          <w:rFonts w:ascii="Century Gothic" w:hAnsi="Century Gothic"/>
          <w:b/>
          <w:bCs/>
          <w:sz w:val="22"/>
          <w:szCs w:val="22"/>
          <w:lang w:val="pt-BR"/>
        </w:rPr>
        <w:t xml:space="preserve"> 31 Dhjetor 201</w:t>
      </w:r>
      <w:r w:rsidR="0050767D">
        <w:rPr>
          <w:rFonts w:ascii="Century Gothic" w:hAnsi="Century Gothic"/>
          <w:b/>
          <w:bCs/>
          <w:sz w:val="22"/>
          <w:szCs w:val="22"/>
          <w:lang w:val="pt-BR"/>
        </w:rPr>
        <w:t>2</w:t>
      </w:r>
      <w:r w:rsidR="00C5191F">
        <w:rPr>
          <w:rFonts w:ascii="Century Gothic" w:hAnsi="Century Gothic"/>
          <w:b/>
          <w:bCs/>
          <w:sz w:val="22"/>
          <w:szCs w:val="22"/>
          <w:lang w:val="pt-BR"/>
        </w:rPr>
        <w:t xml:space="preserve"> dhe 20</w:t>
      </w:r>
      <w:r w:rsidR="0050767D">
        <w:rPr>
          <w:rFonts w:ascii="Century Gothic" w:hAnsi="Century Gothic"/>
          <w:b/>
          <w:bCs/>
          <w:sz w:val="22"/>
          <w:szCs w:val="22"/>
          <w:lang w:val="pt-BR"/>
        </w:rPr>
        <w:t>11</w:t>
      </w:r>
    </w:p>
    <w:p w:rsidR="00B409C4" w:rsidRPr="006F3B3C" w:rsidRDefault="00B409C4" w:rsidP="00B409C4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pt-BR"/>
        </w:rPr>
      </w:pPr>
      <w:r w:rsidRPr="006F3B3C">
        <w:rPr>
          <w:rFonts w:ascii="Century Gothic" w:hAnsi="Century Gothic"/>
          <w:b/>
          <w:bCs/>
          <w:sz w:val="18"/>
          <w:szCs w:val="18"/>
          <w:lang w:val="pt-BR"/>
        </w:rPr>
        <w:t>(Të gjitha balancat janë në lekë</w:t>
      </w:r>
      <w:r>
        <w:rPr>
          <w:rFonts w:ascii="Century Gothic" w:hAnsi="Century Gothic"/>
          <w:b/>
          <w:bCs/>
          <w:sz w:val="18"/>
          <w:szCs w:val="18"/>
          <w:lang w:val="pt-BR"/>
        </w:rPr>
        <w:t>).</w:t>
      </w:r>
    </w:p>
    <w:p w:rsidR="00B409C4" w:rsidRDefault="00B409C4" w:rsidP="00B409C4">
      <w:pPr>
        <w:ind w:left="360"/>
        <w:jc w:val="both"/>
        <w:rPr>
          <w:sz w:val="22"/>
          <w:szCs w:val="22"/>
        </w:rPr>
      </w:pPr>
    </w:p>
    <w:p w:rsidR="00960A5B" w:rsidRPr="00EB2DD9" w:rsidRDefault="00960A5B" w:rsidP="00AF528F">
      <w:pPr>
        <w:ind w:left="360"/>
        <w:jc w:val="both"/>
        <w:rPr>
          <w:sz w:val="22"/>
          <w:szCs w:val="22"/>
          <w:lang w:val="de-DE"/>
        </w:rPr>
      </w:pPr>
      <w:r w:rsidRPr="00EB2DD9">
        <w:rPr>
          <w:sz w:val="22"/>
          <w:szCs w:val="22"/>
          <w:lang w:val="de-DE"/>
        </w:rPr>
        <w:t>“Parapagimet e arkëtuara“</w:t>
      </w:r>
      <w:r w:rsidR="007A75BB">
        <w:rPr>
          <w:sz w:val="22"/>
          <w:szCs w:val="22"/>
          <w:lang w:val="it-IT"/>
        </w:rPr>
        <w:t xml:space="preserve">  perfaqesojne  arketimet e pre</w:t>
      </w:r>
      <w:r w:rsidRPr="00EB2DD9">
        <w:rPr>
          <w:sz w:val="22"/>
          <w:szCs w:val="22"/>
          <w:lang w:val="it-IT"/>
        </w:rPr>
        <w:t>notuesve te apartamenteve te banimit, ne baze te kontratave te porosise, per te cilet nuk eshte realizuar kontrata e shitjes dhe trasferimi i  titullit te pronesie.</w:t>
      </w:r>
    </w:p>
    <w:p w:rsidR="00960A5B" w:rsidRPr="00EB2DD9" w:rsidRDefault="0006356D" w:rsidP="001B6FCD">
      <w:pPr>
        <w:ind w:left="360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>Shoqeria ka pergatitur inventaret kontabel dhe shuma e llogarise sintetike eshte e barabarte me shumen e llogarive analitike te mbajtura per cdo furnitor.</w:t>
      </w:r>
    </w:p>
    <w:p w:rsidR="0006356D" w:rsidRPr="00EB2DD9" w:rsidRDefault="0006356D" w:rsidP="001B6FCD">
      <w:pPr>
        <w:ind w:left="360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>Drejtimi mendon se te drejtat e furnitoreve  jane  te vleresuara realisht.</w:t>
      </w:r>
    </w:p>
    <w:p w:rsidR="007A75BB" w:rsidRDefault="007A75BB" w:rsidP="001B6FCD">
      <w:pPr>
        <w:tabs>
          <w:tab w:val="left" w:pos="360"/>
          <w:tab w:val="left" w:pos="426"/>
        </w:tabs>
        <w:ind w:left="360"/>
        <w:jc w:val="both"/>
        <w:rPr>
          <w:color w:val="000000"/>
          <w:sz w:val="22"/>
          <w:szCs w:val="22"/>
          <w:lang w:val="de-DE"/>
        </w:rPr>
      </w:pPr>
    </w:p>
    <w:p w:rsidR="0040743B" w:rsidRPr="00EB2DD9" w:rsidRDefault="00BB0D7E" w:rsidP="001B6FCD">
      <w:pPr>
        <w:numPr>
          <w:ilvl w:val="0"/>
          <w:numId w:val="1"/>
        </w:numPr>
        <w:jc w:val="both"/>
        <w:rPr>
          <w:b/>
          <w:lang w:val="pt-BR"/>
        </w:rPr>
      </w:pPr>
      <w:r w:rsidRPr="00EB2DD9">
        <w:rPr>
          <w:sz w:val="22"/>
          <w:szCs w:val="22"/>
          <w:lang w:val="de-DE"/>
        </w:rPr>
        <w:t xml:space="preserve"> </w:t>
      </w:r>
      <w:r w:rsidR="0040743B" w:rsidRPr="00EB2DD9">
        <w:rPr>
          <w:b/>
          <w:lang w:val="pt-BR"/>
        </w:rPr>
        <w:t xml:space="preserve">Detyrime </w:t>
      </w:r>
      <w:r w:rsidR="00D56EC2" w:rsidRPr="00EB2DD9">
        <w:rPr>
          <w:b/>
          <w:lang w:val="pt-BR"/>
        </w:rPr>
        <w:t>A</w:t>
      </w:r>
      <w:r w:rsidR="0040743B" w:rsidRPr="00EB2DD9">
        <w:rPr>
          <w:b/>
          <w:lang w:val="pt-BR"/>
        </w:rPr>
        <w:t>fatgjata</w:t>
      </w:r>
      <w:r w:rsidR="00004306" w:rsidRPr="00EB2DD9">
        <w:rPr>
          <w:b/>
          <w:lang w:val="pt-BR"/>
        </w:rPr>
        <w:t>-Huate afatgjata</w:t>
      </w:r>
    </w:p>
    <w:p w:rsidR="0040743B" w:rsidRPr="00EB2DD9" w:rsidRDefault="0040743B" w:rsidP="001B6FCD">
      <w:pPr>
        <w:jc w:val="both"/>
        <w:rPr>
          <w:b/>
          <w:lang w:val="pt-BR"/>
        </w:rPr>
      </w:pPr>
    </w:p>
    <w:p w:rsidR="0053088D" w:rsidRPr="00EB2DD9" w:rsidRDefault="0053088D" w:rsidP="001B6FCD">
      <w:pPr>
        <w:ind w:left="360"/>
        <w:jc w:val="both"/>
        <w:rPr>
          <w:lang w:val="it-IT"/>
        </w:rPr>
      </w:pPr>
      <w:r w:rsidRPr="00EB2DD9">
        <w:rPr>
          <w:sz w:val="22"/>
          <w:szCs w:val="22"/>
          <w:lang w:val="pt-BR"/>
        </w:rPr>
        <w:t>Huate afatgjate</w:t>
      </w:r>
      <w:r w:rsidRPr="00EB2DD9">
        <w:rPr>
          <w:lang w:val="it-IT"/>
        </w:rPr>
        <w:t xml:space="preserve"> ne fillim dhe ne</w:t>
      </w:r>
      <w:r w:rsidR="002B3801">
        <w:rPr>
          <w:lang w:val="it-IT"/>
        </w:rPr>
        <w:t xml:space="preserve"> fund te ushtrimit kontabel 201</w:t>
      </w:r>
      <w:r w:rsidR="00390358">
        <w:rPr>
          <w:lang w:val="it-IT"/>
        </w:rPr>
        <w:t>1</w:t>
      </w:r>
      <w:r w:rsidRPr="00EB2DD9">
        <w:rPr>
          <w:lang w:val="it-IT"/>
        </w:rPr>
        <w:t xml:space="preserve"> paraqiten si vijon:</w:t>
      </w:r>
    </w:p>
    <w:p w:rsidR="00AF4FF9" w:rsidRDefault="00AF4FF9" w:rsidP="001B6FCD">
      <w:pPr>
        <w:ind w:left="360"/>
        <w:jc w:val="both"/>
        <w:rPr>
          <w:b/>
          <w:sz w:val="20"/>
          <w:szCs w:val="20"/>
          <w:lang w:val="it-IT"/>
        </w:rPr>
      </w:pPr>
    </w:p>
    <w:p w:rsidR="009736F2" w:rsidRPr="00EB2DD9" w:rsidRDefault="009E24D8" w:rsidP="001B6FCD">
      <w:pPr>
        <w:pStyle w:val="BodyText"/>
        <w:ind w:left="360"/>
        <w:rPr>
          <w:b/>
          <w:sz w:val="20"/>
          <w:lang w:val="it-IT"/>
        </w:rPr>
      </w:pPr>
      <w:r w:rsidRPr="00EB2DD9">
        <w:rPr>
          <w:b/>
          <w:sz w:val="20"/>
          <w:lang w:val="it-IT"/>
        </w:rPr>
        <w:object w:dxaOrig="8376" w:dyaOrig="3114">
          <v:shape id="_x0000_i1032" type="#_x0000_t75" style="width:418.45pt;height:155.4pt" o:ole="">
            <v:imagedata r:id="rId26" o:title=""/>
          </v:shape>
          <o:OLEObject Type="Embed" ProgID="Excel.Sheet.8" ShapeID="_x0000_i1032" DrawAspect="Content" ObjectID="_1700743860" r:id="rId27"/>
        </w:object>
      </w:r>
    </w:p>
    <w:p w:rsidR="007A75BB" w:rsidRDefault="007A75BB" w:rsidP="001B6FCD">
      <w:pPr>
        <w:pStyle w:val="BodyText"/>
        <w:ind w:left="360" w:firstLine="45"/>
        <w:rPr>
          <w:b/>
          <w:sz w:val="22"/>
          <w:szCs w:val="22"/>
          <w:lang w:val="it-IT"/>
        </w:rPr>
      </w:pPr>
    </w:p>
    <w:p w:rsidR="00254ABE" w:rsidRPr="00EB2DD9" w:rsidRDefault="006B1EEF" w:rsidP="006B1EEF">
      <w:pPr>
        <w:pStyle w:val="BodyText"/>
        <w:ind w:left="360" w:firstLine="45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 Shoqeria nuk ka </w:t>
      </w:r>
      <w:r w:rsidR="00E456AD">
        <w:rPr>
          <w:sz w:val="22"/>
          <w:szCs w:val="22"/>
          <w:lang w:val="it-IT"/>
        </w:rPr>
        <w:t xml:space="preserve">“Detyrime </w:t>
      </w:r>
      <w:r w:rsidR="007A75BB" w:rsidRPr="00E456AD">
        <w:rPr>
          <w:sz w:val="22"/>
          <w:szCs w:val="22"/>
          <w:lang w:val="it-IT"/>
        </w:rPr>
        <w:t xml:space="preserve"> Afatgjata –Huate afatgjata”</w:t>
      </w:r>
      <w:r w:rsidRPr="00EB2DD9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254ABE" w:rsidRPr="00EB2DD9" w:rsidRDefault="00254ABE" w:rsidP="001B6FCD">
      <w:pPr>
        <w:ind w:left="432"/>
        <w:jc w:val="both"/>
        <w:rPr>
          <w:sz w:val="22"/>
          <w:szCs w:val="22"/>
        </w:rPr>
      </w:pPr>
    </w:p>
    <w:p w:rsidR="00F35E98" w:rsidRPr="00EB2DD9" w:rsidRDefault="00254ABE" w:rsidP="001B6FCD">
      <w:pPr>
        <w:ind w:left="432"/>
        <w:jc w:val="both"/>
        <w:rPr>
          <w:sz w:val="22"/>
          <w:szCs w:val="22"/>
        </w:rPr>
      </w:pPr>
      <w:r w:rsidRPr="00EB2DD9">
        <w:rPr>
          <w:sz w:val="22"/>
          <w:szCs w:val="22"/>
        </w:rPr>
        <w:t xml:space="preserve">Kapitali </w:t>
      </w:r>
      <w:r w:rsidR="00E02DD8" w:rsidRPr="00EB2DD9">
        <w:rPr>
          <w:sz w:val="22"/>
          <w:szCs w:val="22"/>
        </w:rPr>
        <w:t>i rregjistruar i shoqerise,</w:t>
      </w:r>
      <w:r w:rsidRPr="00EB2DD9">
        <w:rPr>
          <w:sz w:val="22"/>
          <w:szCs w:val="22"/>
        </w:rPr>
        <w:t xml:space="preserve"> i paraqitur ne bilanc</w:t>
      </w:r>
      <w:r w:rsidR="00E02DD8" w:rsidRPr="00EB2DD9">
        <w:rPr>
          <w:sz w:val="22"/>
          <w:szCs w:val="22"/>
        </w:rPr>
        <w:t>,</w:t>
      </w:r>
      <w:r w:rsidRPr="00EB2DD9">
        <w:rPr>
          <w:sz w:val="22"/>
          <w:szCs w:val="22"/>
        </w:rPr>
        <w:t xml:space="preserve"> eshte i njejte me ate te percaktuar ne statutin e shoqerise dhe vendimet e depozituara ne QKR. </w:t>
      </w:r>
      <w:r w:rsidR="00E02DD8" w:rsidRPr="00EB2DD9">
        <w:rPr>
          <w:sz w:val="22"/>
          <w:szCs w:val="22"/>
        </w:rPr>
        <w:t xml:space="preserve">Me </w:t>
      </w:r>
      <w:r w:rsidRPr="00EB2DD9">
        <w:rPr>
          <w:sz w:val="22"/>
          <w:szCs w:val="22"/>
        </w:rPr>
        <w:t xml:space="preserve"> 3</w:t>
      </w:r>
      <w:r w:rsidR="00E02DD8" w:rsidRPr="00EB2DD9">
        <w:rPr>
          <w:sz w:val="22"/>
          <w:szCs w:val="22"/>
        </w:rPr>
        <w:t>1</w:t>
      </w:r>
      <w:r w:rsidR="00187C2F">
        <w:rPr>
          <w:sz w:val="22"/>
          <w:szCs w:val="22"/>
        </w:rPr>
        <w:t>.12.2009</w:t>
      </w:r>
      <w:r w:rsidR="00E456AD">
        <w:rPr>
          <w:sz w:val="22"/>
          <w:szCs w:val="22"/>
        </w:rPr>
        <w:t xml:space="preserve"> </w:t>
      </w:r>
      <w:r w:rsidR="00E02DD8" w:rsidRPr="00EB2DD9">
        <w:rPr>
          <w:sz w:val="22"/>
          <w:szCs w:val="22"/>
        </w:rPr>
        <w:t xml:space="preserve">ai </w:t>
      </w:r>
      <w:r w:rsidRPr="00EB2DD9">
        <w:rPr>
          <w:sz w:val="22"/>
          <w:szCs w:val="22"/>
        </w:rPr>
        <w:t xml:space="preserve"> eshte </w:t>
      </w:r>
      <w:r w:rsidR="00F35E98" w:rsidRPr="00EB2DD9">
        <w:rPr>
          <w:sz w:val="22"/>
          <w:szCs w:val="22"/>
        </w:rPr>
        <w:t>50,000,000</w:t>
      </w:r>
      <w:r w:rsidRPr="00EB2DD9">
        <w:rPr>
          <w:sz w:val="22"/>
          <w:szCs w:val="22"/>
        </w:rPr>
        <w:t xml:space="preserve">  leke</w:t>
      </w:r>
      <w:r w:rsidR="00E02DD8" w:rsidRPr="00EB2DD9">
        <w:rPr>
          <w:sz w:val="22"/>
          <w:szCs w:val="22"/>
        </w:rPr>
        <w:t xml:space="preserve">, i ndare ne </w:t>
      </w:r>
      <w:r w:rsidR="00F35E98" w:rsidRPr="00EB2DD9">
        <w:rPr>
          <w:sz w:val="22"/>
          <w:szCs w:val="22"/>
        </w:rPr>
        <w:t>50,000</w:t>
      </w:r>
      <w:r w:rsidR="002D1D38" w:rsidRPr="00EB2DD9">
        <w:rPr>
          <w:sz w:val="22"/>
          <w:szCs w:val="22"/>
        </w:rPr>
        <w:t xml:space="preserve"> </w:t>
      </w:r>
      <w:r w:rsidR="00E02DD8" w:rsidRPr="00EB2DD9">
        <w:rPr>
          <w:sz w:val="22"/>
          <w:szCs w:val="22"/>
        </w:rPr>
        <w:t xml:space="preserve"> kuota me </w:t>
      </w:r>
      <w:r w:rsidR="002D1D38" w:rsidRPr="00EB2DD9">
        <w:rPr>
          <w:sz w:val="22"/>
          <w:szCs w:val="22"/>
        </w:rPr>
        <w:t>vlere nominale 1.000 leke /kuota.</w:t>
      </w:r>
    </w:p>
    <w:p w:rsidR="00254ABE" w:rsidRPr="00EB2DD9" w:rsidRDefault="00E02DD8" w:rsidP="001B6FCD">
      <w:pPr>
        <w:ind w:left="432"/>
        <w:jc w:val="both"/>
        <w:rPr>
          <w:sz w:val="22"/>
          <w:szCs w:val="22"/>
        </w:rPr>
      </w:pPr>
      <w:r w:rsidRPr="00EB2DD9">
        <w:rPr>
          <w:sz w:val="22"/>
          <w:szCs w:val="22"/>
        </w:rPr>
        <w:t>Gjate ushtrimit kontabel 20</w:t>
      </w:r>
      <w:r w:rsidR="00187C2F">
        <w:rPr>
          <w:sz w:val="22"/>
          <w:szCs w:val="22"/>
        </w:rPr>
        <w:t>1</w:t>
      </w:r>
      <w:r w:rsidR="006B1EEF">
        <w:rPr>
          <w:sz w:val="22"/>
          <w:szCs w:val="22"/>
        </w:rPr>
        <w:t>2</w:t>
      </w:r>
      <w:r w:rsidRPr="00EB2DD9">
        <w:rPr>
          <w:sz w:val="22"/>
          <w:szCs w:val="22"/>
        </w:rPr>
        <w:t xml:space="preserve"> nuk ka rritje ose pakesim ne kapitalin e rregjistruar te shoqerise dhe ne </w:t>
      </w:r>
      <w:r w:rsidR="0081290D" w:rsidRPr="00EB2DD9">
        <w:rPr>
          <w:sz w:val="22"/>
          <w:szCs w:val="22"/>
        </w:rPr>
        <w:t xml:space="preserve">raportet </w:t>
      </w:r>
      <w:r w:rsidRPr="00EB2DD9">
        <w:rPr>
          <w:sz w:val="22"/>
          <w:szCs w:val="22"/>
        </w:rPr>
        <w:t>zoter</w:t>
      </w:r>
      <w:r w:rsidR="0081290D" w:rsidRPr="00EB2DD9">
        <w:rPr>
          <w:sz w:val="22"/>
          <w:szCs w:val="22"/>
        </w:rPr>
        <w:t>imit nga ortaket.</w:t>
      </w:r>
    </w:p>
    <w:p w:rsidR="00E456AD" w:rsidRDefault="00E456AD" w:rsidP="00E456AD">
      <w:pPr>
        <w:jc w:val="both"/>
        <w:rPr>
          <w:color w:val="000000"/>
          <w:sz w:val="22"/>
          <w:szCs w:val="22"/>
          <w:lang w:val="sv-SE"/>
        </w:rPr>
      </w:pPr>
    </w:p>
    <w:p w:rsidR="00502D06" w:rsidRDefault="00502D06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6B1EEF" w:rsidRDefault="006B1EEF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6B1EEF" w:rsidRDefault="006B1EEF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6B1EEF" w:rsidRDefault="006B1EEF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6B1EEF" w:rsidRDefault="006B1EEF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6B1EEF" w:rsidRDefault="006B1EEF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6B1EEF" w:rsidRDefault="006B1EEF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94002" w:rsidRDefault="00294002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94002" w:rsidRDefault="00294002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94002" w:rsidRDefault="00294002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94002" w:rsidRDefault="00294002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94002" w:rsidRDefault="00294002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94002" w:rsidRDefault="00294002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94002" w:rsidRDefault="00294002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294002" w:rsidRDefault="00294002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6814EE" w:rsidRDefault="006814EE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6B1EEF" w:rsidRDefault="006B1EEF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502D06" w:rsidRDefault="00502D06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B409C4" w:rsidRPr="006F3B3C" w:rsidRDefault="00B409C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t>S</w:t>
      </w:r>
      <w:r>
        <w:rPr>
          <w:rFonts w:ascii="Century Gothic" w:hAnsi="Century Gothic"/>
          <w:b/>
          <w:bCs/>
          <w:sz w:val="22"/>
          <w:szCs w:val="22"/>
          <w:lang w:val="nl-NL"/>
        </w:rPr>
        <w:t xml:space="preserve">HENIME PER PASQYRAT FINANCIARE </w:t>
      </w:r>
    </w:p>
    <w:p w:rsidR="00B409C4" w:rsidRPr="00B1225B" w:rsidRDefault="00B409C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>vitet ushtrimor te mbyllur më</w:t>
      </w:r>
      <w:r w:rsidR="00187C2F">
        <w:rPr>
          <w:rFonts w:ascii="Century Gothic" w:hAnsi="Century Gothic"/>
          <w:b/>
          <w:bCs/>
          <w:sz w:val="22"/>
          <w:szCs w:val="22"/>
          <w:lang w:val="pt-BR"/>
        </w:rPr>
        <w:t xml:space="preserve"> 31 Dhjetor 201</w:t>
      </w:r>
      <w:r w:rsidR="007A1D37">
        <w:rPr>
          <w:rFonts w:ascii="Century Gothic" w:hAnsi="Century Gothic"/>
          <w:b/>
          <w:bCs/>
          <w:sz w:val="22"/>
          <w:szCs w:val="22"/>
          <w:lang w:val="pt-BR"/>
        </w:rPr>
        <w:t>2</w:t>
      </w:r>
      <w:r w:rsidR="00187C2F">
        <w:rPr>
          <w:rFonts w:ascii="Century Gothic" w:hAnsi="Century Gothic"/>
          <w:b/>
          <w:bCs/>
          <w:sz w:val="22"/>
          <w:szCs w:val="22"/>
          <w:lang w:val="pt-BR"/>
        </w:rPr>
        <w:t xml:space="preserve"> dhe 20</w:t>
      </w:r>
      <w:r w:rsidR="007A1D37">
        <w:rPr>
          <w:rFonts w:ascii="Century Gothic" w:hAnsi="Century Gothic"/>
          <w:b/>
          <w:bCs/>
          <w:sz w:val="22"/>
          <w:szCs w:val="22"/>
          <w:lang w:val="pt-BR"/>
        </w:rPr>
        <w:t>11</w:t>
      </w:r>
    </w:p>
    <w:p w:rsidR="00B409C4" w:rsidRPr="006F3B3C" w:rsidRDefault="00B409C4" w:rsidP="00B409C4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pt-BR"/>
        </w:rPr>
      </w:pPr>
      <w:r w:rsidRPr="006F3B3C">
        <w:rPr>
          <w:rFonts w:ascii="Century Gothic" w:hAnsi="Century Gothic"/>
          <w:b/>
          <w:bCs/>
          <w:sz w:val="18"/>
          <w:szCs w:val="18"/>
          <w:lang w:val="pt-BR"/>
        </w:rPr>
        <w:t>(Të gjitha balancat janë në lekë</w:t>
      </w:r>
      <w:r>
        <w:rPr>
          <w:rFonts w:ascii="Century Gothic" w:hAnsi="Century Gothic"/>
          <w:b/>
          <w:bCs/>
          <w:sz w:val="18"/>
          <w:szCs w:val="18"/>
          <w:lang w:val="pt-BR"/>
        </w:rPr>
        <w:t>).</w:t>
      </w:r>
    </w:p>
    <w:p w:rsidR="00B409C4" w:rsidRDefault="00B409C4" w:rsidP="00B409C4">
      <w:pPr>
        <w:ind w:left="360"/>
        <w:jc w:val="both"/>
        <w:rPr>
          <w:sz w:val="22"/>
          <w:szCs w:val="22"/>
        </w:rPr>
      </w:pPr>
    </w:p>
    <w:p w:rsidR="00E570BF" w:rsidRPr="00EB2DD9" w:rsidRDefault="00E570BF" w:rsidP="001B6FCD">
      <w:pPr>
        <w:numPr>
          <w:ilvl w:val="0"/>
          <w:numId w:val="1"/>
        </w:numPr>
        <w:jc w:val="both"/>
        <w:rPr>
          <w:b/>
          <w:sz w:val="22"/>
          <w:szCs w:val="22"/>
          <w:lang w:val="nb-NO"/>
        </w:rPr>
      </w:pPr>
      <w:r w:rsidRPr="00EB2DD9">
        <w:rPr>
          <w:b/>
          <w:sz w:val="22"/>
          <w:szCs w:val="22"/>
          <w:lang w:val="pt-BR"/>
        </w:rPr>
        <w:t>Fitimi (humbja) e vitit financiar</w:t>
      </w:r>
    </w:p>
    <w:p w:rsidR="00E570BF" w:rsidRPr="00EB2DD9" w:rsidRDefault="00E570BF" w:rsidP="001B6FCD">
      <w:pPr>
        <w:jc w:val="both"/>
        <w:rPr>
          <w:b/>
          <w:sz w:val="22"/>
          <w:szCs w:val="22"/>
          <w:lang w:val="nb-NO"/>
        </w:rPr>
      </w:pPr>
    </w:p>
    <w:p w:rsidR="00CA45B8" w:rsidRPr="00EB2DD9" w:rsidRDefault="00621593" w:rsidP="001B6FCD">
      <w:pPr>
        <w:numPr>
          <w:ilvl w:val="0"/>
          <w:numId w:val="5"/>
        </w:numPr>
        <w:jc w:val="both"/>
        <w:rPr>
          <w:b/>
          <w:sz w:val="22"/>
          <w:szCs w:val="22"/>
          <w:lang w:val="pt-BR"/>
        </w:rPr>
      </w:pPr>
      <w:r w:rsidRPr="00EB2DD9">
        <w:rPr>
          <w:b/>
          <w:sz w:val="22"/>
          <w:szCs w:val="22"/>
          <w:lang w:val="pt-BR"/>
        </w:rPr>
        <w:t>Te ardhurat</w:t>
      </w:r>
      <w:r w:rsidR="00EF27A5" w:rsidRPr="00EB2DD9">
        <w:rPr>
          <w:b/>
          <w:sz w:val="22"/>
          <w:szCs w:val="22"/>
          <w:lang w:val="pt-BR"/>
        </w:rPr>
        <w:t xml:space="preserve"> </w:t>
      </w:r>
    </w:p>
    <w:p w:rsidR="004E33F3" w:rsidRPr="001B6FCD" w:rsidRDefault="00BF6951" w:rsidP="001B6FCD">
      <w:pPr>
        <w:ind w:left="360"/>
        <w:jc w:val="both"/>
        <w:rPr>
          <w:sz w:val="22"/>
          <w:szCs w:val="22"/>
          <w:lang w:val="it-IT"/>
        </w:rPr>
      </w:pPr>
      <w:r w:rsidRPr="00EB2DD9">
        <w:rPr>
          <w:sz w:val="22"/>
          <w:szCs w:val="22"/>
          <w:lang w:val="it-IT"/>
        </w:rPr>
        <w:t>Te ardhura e realizuara gjate ushtrimit, sipas segmenteve</w:t>
      </w:r>
      <w:r w:rsidR="002C0E89" w:rsidRPr="00EB2DD9">
        <w:rPr>
          <w:sz w:val="22"/>
          <w:szCs w:val="22"/>
          <w:lang w:val="it-IT"/>
        </w:rPr>
        <w:t xml:space="preserve">(kategorive) </w:t>
      </w:r>
      <w:r w:rsidRPr="00EB2DD9">
        <w:rPr>
          <w:sz w:val="22"/>
          <w:szCs w:val="22"/>
          <w:lang w:val="it-IT"/>
        </w:rPr>
        <w:t xml:space="preserve"> te biznesit paraqitet si vijon:</w:t>
      </w:r>
    </w:p>
    <w:p w:rsidR="004E33F3" w:rsidRPr="00EB2DD9" w:rsidRDefault="004E33F3" w:rsidP="001B6FCD">
      <w:pPr>
        <w:widowControl w:val="0"/>
        <w:jc w:val="both"/>
        <w:rPr>
          <w:b/>
          <w:bCs/>
          <w:sz w:val="22"/>
          <w:szCs w:val="22"/>
          <w:lang w:val="nl-NL"/>
        </w:rPr>
      </w:pPr>
    </w:p>
    <w:p w:rsidR="00C56823" w:rsidRDefault="00EE10B8" w:rsidP="00C56823">
      <w:pPr>
        <w:ind w:left="360"/>
        <w:jc w:val="both"/>
        <w:rPr>
          <w:b/>
          <w:sz w:val="20"/>
          <w:szCs w:val="20"/>
          <w:lang w:val="it-IT"/>
        </w:rPr>
      </w:pPr>
      <w:r w:rsidRPr="00EB2DD9">
        <w:rPr>
          <w:b/>
          <w:sz w:val="20"/>
          <w:szCs w:val="20"/>
          <w:lang w:val="it-IT"/>
        </w:rPr>
        <w:object w:dxaOrig="8390" w:dyaOrig="3174">
          <v:shape id="_x0000_i1033" type="#_x0000_t75" style="width:419.15pt;height:158.95pt" o:ole="">
            <v:imagedata r:id="rId28" o:title=""/>
          </v:shape>
          <o:OLEObject Type="Embed" ProgID="Excel.Sheet.8" ShapeID="_x0000_i1033" DrawAspect="Content" ObjectID="_1700743861" r:id="rId29"/>
        </w:object>
      </w:r>
    </w:p>
    <w:p w:rsidR="00294002" w:rsidRDefault="00294002" w:rsidP="00C56823">
      <w:pPr>
        <w:ind w:left="360"/>
        <w:jc w:val="both"/>
        <w:rPr>
          <w:b/>
          <w:sz w:val="20"/>
          <w:szCs w:val="20"/>
          <w:lang w:val="it-IT"/>
        </w:rPr>
      </w:pPr>
    </w:p>
    <w:p w:rsidR="00294002" w:rsidRDefault="00294002" w:rsidP="00C56823">
      <w:pPr>
        <w:ind w:left="360"/>
        <w:jc w:val="both"/>
        <w:rPr>
          <w:b/>
          <w:sz w:val="20"/>
          <w:szCs w:val="20"/>
          <w:lang w:val="it-IT"/>
        </w:rPr>
      </w:pPr>
    </w:p>
    <w:p w:rsidR="00294002" w:rsidRDefault="00294002" w:rsidP="00C56823">
      <w:pPr>
        <w:ind w:left="360"/>
        <w:jc w:val="both"/>
        <w:rPr>
          <w:b/>
          <w:sz w:val="20"/>
          <w:szCs w:val="20"/>
          <w:lang w:val="it-IT"/>
        </w:rPr>
      </w:pPr>
    </w:p>
    <w:p w:rsidR="00792B75" w:rsidRDefault="003768D4" w:rsidP="003768D4">
      <w:pPr>
        <w:jc w:val="both"/>
        <w:rPr>
          <w:sz w:val="22"/>
          <w:szCs w:val="22"/>
          <w:lang w:val="nb-NO"/>
        </w:rPr>
      </w:pPr>
      <w:r>
        <w:rPr>
          <w:sz w:val="22"/>
          <w:szCs w:val="22"/>
          <w:lang w:val="it-IT"/>
        </w:rPr>
        <w:t xml:space="preserve">      </w:t>
      </w:r>
      <w:r w:rsidR="003821D3" w:rsidRPr="00EB2DD9">
        <w:rPr>
          <w:sz w:val="22"/>
          <w:szCs w:val="22"/>
          <w:lang w:val="it-IT"/>
        </w:rPr>
        <w:t>Të ardhurat nga sherbimet e ndertimit</w:t>
      </w:r>
      <w:r w:rsidR="004D343A" w:rsidRPr="00EB2DD9">
        <w:rPr>
          <w:sz w:val="22"/>
          <w:szCs w:val="22"/>
          <w:lang w:val="it-IT"/>
        </w:rPr>
        <w:t xml:space="preserve"> ne apartamente banimi,</w:t>
      </w:r>
      <w:r w:rsidR="003821D3" w:rsidRPr="00EB2DD9">
        <w:rPr>
          <w:sz w:val="22"/>
          <w:szCs w:val="22"/>
          <w:lang w:val="it-IT"/>
        </w:rPr>
        <w:t xml:space="preserve"> </w:t>
      </w:r>
      <w:r w:rsidR="00135440" w:rsidRPr="00EB2DD9">
        <w:rPr>
          <w:sz w:val="22"/>
          <w:szCs w:val="22"/>
          <w:lang w:val="it-IT"/>
        </w:rPr>
        <w:t xml:space="preserve">jane njohur deri në masën e shpenzimeve të </w:t>
      </w:r>
      <w:r>
        <w:rPr>
          <w:sz w:val="22"/>
          <w:szCs w:val="22"/>
          <w:lang w:val="it-IT"/>
        </w:rPr>
        <w:t xml:space="preserve">      </w:t>
      </w:r>
      <w:r w:rsidR="00135440" w:rsidRPr="00EB2DD9">
        <w:rPr>
          <w:sz w:val="22"/>
          <w:szCs w:val="22"/>
          <w:lang w:val="it-IT"/>
        </w:rPr>
        <w:t>rikuperueshme, të njohura në kontabilitet.</w:t>
      </w:r>
      <w:r w:rsidR="0042615E" w:rsidRPr="00EB2DD9">
        <w:rPr>
          <w:sz w:val="22"/>
          <w:szCs w:val="22"/>
          <w:lang w:val="it-IT"/>
        </w:rPr>
        <w:t>(</w:t>
      </w:r>
      <w:r w:rsidR="002C0E89" w:rsidRPr="00EB2DD9">
        <w:rPr>
          <w:sz w:val="22"/>
          <w:szCs w:val="22"/>
          <w:lang w:val="it-IT"/>
        </w:rPr>
        <w:t>Njohja dhe vleresimi jane bazuar ne SNK-</w:t>
      </w:r>
      <w:r w:rsidR="003821D3" w:rsidRPr="00EB2DD9">
        <w:rPr>
          <w:sz w:val="22"/>
          <w:szCs w:val="22"/>
          <w:lang w:val="it-IT"/>
        </w:rPr>
        <w:t>8</w:t>
      </w:r>
      <w:r w:rsidR="0042615E" w:rsidRPr="00EB2DD9">
        <w:rPr>
          <w:sz w:val="22"/>
          <w:szCs w:val="22"/>
          <w:lang w:val="it-IT"/>
        </w:rPr>
        <w:t>)</w:t>
      </w:r>
      <w:r w:rsidR="00792B75" w:rsidRPr="00EB2DD9">
        <w:rPr>
          <w:sz w:val="22"/>
          <w:szCs w:val="22"/>
          <w:lang w:val="it-IT"/>
        </w:rPr>
        <w:t>.</w:t>
      </w:r>
      <w:r w:rsidR="00792B75" w:rsidRPr="00EB2DD9">
        <w:rPr>
          <w:sz w:val="22"/>
          <w:szCs w:val="22"/>
          <w:lang w:val="nb-NO"/>
        </w:rPr>
        <w:t>Paraqitja ne pasqyrat financiare</w:t>
      </w:r>
      <w:r w:rsidR="007F3FAB" w:rsidRPr="00EB2DD9">
        <w:rPr>
          <w:sz w:val="22"/>
          <w:szCs w:val="22"/>
          <w:lang w:val="nb-NO"/>
        </w:rPr>
        <w:t xml:space="preserve"> e te ardhurave dhe shpenzimeve </w:t>
      </w:r>
      <w:r w:rsidR="00792B75" w:rsidRPr="00EB2DD9">
        <w:rPr>
          <w:sz w:val="22"/>
          <w:szCs w:val="22"/>
          <w:lang w:val="nb-NO"/>
        </w:rPr>
        <w:t xml:space="preserve"> eshte bere sipas natyres se tyre.</w:t>
      </w:r>
    </w:p>
    <w:p w:rsidR="003768D4" w:rsidRDefault="003768D4" w:rsidP="003768D4">
      <w:pPr>
        <w:jc w:val="both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Te ardhurat kryesore jane realizuar nga ndertime te reja pra ndertim godine banimi e sherbimesh .</w:t>
      </w:r>
    </w:p>
    <w:p w:rsidR="003768D4" w:rsidRDefault="003768D4" w:rsidP="003768D4">
      <w:pPr>
        <w:jc w:val="both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Te ardhura te tjera jane te ardhurat nga lokali i cili eshte nen administrimin e firmes dhe e ardhura nga ky eshte ne formen e qirase ne euro e kthyer kjo ne leke sipas kursit te B.Sh.</w:t>
      </w:r>
    </w:p>
    <w:p w:rsidR="00F2662E" w:rsidRDefault="00F2662E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523084" w:rsidRPr="00EB2DD9" w:rsidRDefault="00523084" w:rsidP="001B6FCD">
      <w:pPr>
        <w:ind w:left="360"/>
        <w:jc w:val="both"/>
        <w:rPr>
          <w:sz w:val="22"/>
          <w:szCs w:val="22"/>
          <w:lang w:val="nb-NO"/>
        </w:rPr>
      </w:pPr>
    </w:p>
    <w:p w:rsidR="00B409C4" w:rsidRPr="00523084" w:rsidRDefault="002C0E89" w:rsidP="00B409C4">
      <w:pPr>
        <w:numPr>
          <w:ilvl w:val="0"/>
          <w:numId w:val="5"/>
        </w:numPr>
        <w:jc w:val="both"/>
        <w:rPr>
          <w:b/>
          <w:sz w:val="22"/>
          <w:szCs w:val="22"/>
          <w:lang w:val="nb-NO"/>
        </w:rPr>
      </w:pPr>
      <w:r w:rsidRPr="00EB2DD9">
        <w:rPr>
          <w:b/>
          <w:sz w:val="22"/>
          <w:szCs w:val="22"/>
          <w:lang w:val="pt-BR"/>
        </w:rPr>
        <w:t>S</w:t>
      </w:r>
      <w:r w:rsidR="00EF27A5" w:rsidRPr="00EB2DD9">
        <w:rPr>
          <w:b/>
          <w:sz w:val="22"/>
          <w:szCs w:val="22"/>
          <w:lang w:val="pt-BR"/>
        </w:rPr>
        <w:t>hpenzimet</w:t>
      </w:r>
      <w:r w:rsidR="00621593" w:rsidRPr="00EB2DD9">
        <w:rPr>
          <w:b/>
          <w:sz w:val="22"/>
          <w:szCs w:val="22"/>
          <w:lang w:val="pt-BR"/>
        </w:rPr>
        <w:t xml:space="preserve"> </w:t>
      </w:r>
      <w:r w:rsidR="00EF27A5" w:rsidRPr="00EB2DD9">
        <w:rPr>
          <w:b/>
          <w:sz w:val="22"/>
          <w:szCs w:val="22"/>
          <w:lang w:val="pt-BR"/>
        </w:rPr>
        <w:t>e veprimtarise kryes</w:t>
      </w:r>
      <w:r w:rsidR="00523084">
        <w:rPr>
          <w:b/>
          <w:sz w:val="22"/>
          <w:szCs w:val="22"/>
          <w:lang w:val="pt-BR"/>
        </w:rPr>
        <w:t>ore</w:t>
      </w:r>
    </w:p>
    <w:p w:rsidR="00B409C4" w:rsidRDefault="00B409C4" w:rsidP="00B409C4">
      <w:pPr>
        <w:jc w:val="both"/>
        <w:rPr>
          <w:b/>
          <w:sz w:val="22"/>
          <w:szCs w:val="22"/>
          <w:lang w:val="pt-BR"/>
        </w:rPr>
      </w:pPr>
    </w:p>
    <w:p w:rsidR="00B409C4" w:rsidRPr="00EB2DD9" w:rsidRDefault="00B409C4" w:rsidP="00B409C4">
      <w:pPr>
        <w:jc w:val="both"/>
        <w:rPr>
          <w:b/>
          <w:sz w:val="22"/>
          <w:szCs w:val="22"/>
          <w:lang w:val="nb-NO"/>
        </w:rPr>
      </w:pPr>
    </w:p>
    <w:p w:rsidR="00B409C4" w:rsidRPr="006F3B3C" w:rsidRDefault="00B409C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t>S</w:t>
      </w:r>
      <w:r>
        <w:rPr>
          <w:rFonts w:ascii="Century Gothic" w:hAnsi="Century Gothic"/>
          <w:b/>
          <w:bCs/>
          <w:sz w:val="22"/>
          <w:szCs w:val="22"/>
          <w:lang w:val="nl-NL"/>
        </w:rPr>
        <w:t xml:space="preserve">HENIME PER PASQYRAT FINANCIARE </w:t>
      </w:r>
    </w:p>
    <w:p w:rsidR="00B409C4" w:rsidRPr="00B1225B" w:rsidRDefault="00B409C4" w:rsidP="00B409C4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>vitet ushtrimor te mbyllur më</w:t>
      </w:r>
      <w:r w:rsidR="00EA33E2">
        <w:rPr>
          <w:rFonts w:ascii="Century Gothic" w:hAnsi="Century Gothic"/>
          <w:b/>
          <w:bCs/>
          <w:sz w:val="22"/>
          <w:szCs w:val="22"/>
          <w:lang w:val="pt-BR"/>
        </w:rPr>
        <w:t xml:space="preserve"> 31 Dhjetor 201</w:t>
      </w:r>
      <w:r w:rsidR="006F436F">
        <w:rPr>
          <w:rFonts w:ascii="Century Gothic" w:hAnsi="Century Gothic"/>
          <w:b/>
          <w:bCs/>
          <w:sz w:val="22"/>
          <w:szCs w:val="22"/>
          <w:lang w:val="pt-BR"/>
        </w:rPr>
        <w:t>2</w:t>
      </w:r>
      <w:r>
        <w:rPr>
          <w:rFonts w:ascii="Century Gothic" w:hAnsi="Century Gothic"/>
          <w:b/>
          <w:bCs/>
          <w:sz w:val="22"/>
          <w:szCs w:val="22"/>
          <w:lang w:val="pt-BR"/>
        </w:rPr>
        <w:t xml:space="preserve"> dhe 20</w:t>
      </w:r>
      <w:r w:rsidR="006F436F">
        <w:rPr>
          <w:rFonts w:ascii="Century Gothic" w:hAnsi="Century Gothic"/>
          <w:b/>
          <w:bCs/>
          <w:sz w:val="22"/>
          <w:szCs w:val="22"/>
          <w:lang w:val="pt-BR"/>
        </w:rPr>
        <w:t>11</w:t>
      </w:r>
    </w:p>
    <w:p w:rsidR="00B409C4" w:rsidRPr="006F3B3C" w:rsidRDefault="00B409C4" w:rsidP="00B409C4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pt-BR"/>
        </w:rPr>
      </w:pPr>
      <w:r w:rsidRPr="006F3B3C">
        <w:rPr>
          <w:rFonts w:ascii="Century Gothic" w:hAnsi="Century Gothic"/>
          <w:b/>
          <w:bCs/>
          <w:sz w:val="18"/>
          <w:szCs w:val="18"/>
          <w:lang w:val="pt-BR"/>
        </w:rPr>
        <w:t>(Të gjitha balancat janë në lekë</w:t>
      </w:r>
      <w:r>
        <w:rPr>
          <w:rFonts w:ascii="Century Gothic" w:hAnsi="Century Gothic"/>
          <w:b/>
          <w:bCs/>
          <w:sz w:val="18"/>
          <w:szCs w:val="18"/>
          <w:lang w:val="pt-BR"/>
        </w:rPr>
        <w:t>).</w:t>
      </w:r>
    </w:p>
    <w:p w:rsidR="00B409C4" w:rsidRDefault="00B409C4" w:rsidP="00B409C4">
      <w:pPr>
        <w:ind w:left="720"/>
        <w:jc w:val="both"/>
        <w:rPr>
          <w:sz w:val="22"/>
          <w:szCs w:val="22"/>
        </w:rPr>
      </w:pPr>
    </w:p>
    <w:p w:rsidR="00302ADA" w:rsidRPr="00EB2DD9" w:rsidRDefault="008466BD" w:rsidP="001B6FCD">
      <w:pPr>
        <w:ind w:left="360"/>
        <w:jc w:val="both"/>
        <w:rPr>
          <w:b/>
          <w:sz w:val="20"/>
          <w:szCs w:val="20"/>
          <w:lang w:val="it-IT"/>
        </w:rPr>
      </w:pPr>
      <w:r w:rsidRPr="00EB2DD9">
        <w:rPr>
          <w:b/>
          <w:sz w:val="20"/>
          <w:szCs w:val="20"/>
          <w:lang w:val="it-IT"/>
        </w:rPr>
        <w:object w:dxaOrig="8390" w:dyaOrig="7449">
          <v:shape id="_x0000_i1034" type="#_x0000_t75" style="width:419.15pt;height:372.1pt" o:ole="">
            <v:imagedata r:id="rId30" o:title=""/>
          </v:shape>
          <o:OLEObject Type="Embed" ProgID="Excel.Sheet.8" ShapeID="_x0000_i1034" DrawAspect="Content" ObjectID="_1700743862" r:id="rId31"/>
        </w:object>
      </w:r>
    </w:p>
    <w:p w:rsidR="0067529D" w:rsidRPr="001B6FCD" w:rsidRDefault="00792B75" w:rsidP="001B6FCD">
      <w:pPr>
        <w:ind w:left="374"/>
        <w:jc w:val="both"/>
        <w:rPr>
          <w:sz w:val="22"/>
          <w:szCs w:val="22"/>
          <w:lang w:val="it-IT"/>
        </w:rPr>
      </w:pPr>
      <w:r w:rsidRPr="001B6FCD">
        <w:rPr>
          <w:sz w:val="22"/>
          <w:szCs w:val="22"/>
          <w:lang w:val="it-IT"/>
        </w:rPr>
        <w:t>Konsumi i materialeve,</w:t>
      </w:r>
      <w:r w:rsidR="00BE0192" w:rsidRPr="001B6FCD">
        <w:rPr>
          <w:sz w:val="22"/>
          <w:szCs w:val="22"/>
          <w:lang w:val="it-IT"/>
        </w:rPr>
        <w:t>mallrave,</w:t>
      </w:r>
      <w:r w:rsidRPr="001B6FCD">
        <w:rPr>
          <w:sz w:val="22"/>
          <w:szCs w:val="22"/>
          <w:lang w:val="it-IT"/>
        </w:rPr>
        <w:t xml:space="preserve"> furniturave, punimeve e sherbimeve, te pasqyruara ne dokumentat justifikues, jane rregjistruar me shumat e </w:t>
      </w:r>
      <w:r w:rsidR="00BE0192" w:rsidRPr="001B6FCD">
        <w:rPr>
          <w:sz w:val="22"/>
          <w:szCs w:val="22"/>
          <w:lang w:val="it-IT"/>
        </w:rPr>
        <w:t>paguara ose te pagueshme.</w:t>
      </w:r>
    </w:p>
    <w:p w:rsidR="0067529D" w:rsidRPr="00EB2DD9" w:rsidRDefault="00792B75" w:rsidP="001B6FCD">
      <w:pPr>
        <w:ind w:left="374"/>
        <w:jc w:val="both"/>
        <w:rPr>
          <w:color w:val="000000"/>
          <w:sz w:val="22"/>
          <w:szCs w:val="22"/>
        </w:rPr>
      </w:pPr>
      <w:r w:rsidRPr="00EB2DD9">
        <w:rPr>
          <w:sz w:val="22"/>
          <w:szCs w:val="22"/>
        </w:rPr>
        <w:t>K</w:t>
      </w:r>
      <w:r w:rsidRPr="00EB2DD9">
        <w:rPr>
          <w:color w:val="000000"/>
          <w:sz w:val="22"/>
          <w:szCs w:val="22"/>
        </w:rPr>
        <w:t>ostoja e punesimit, page dhe sigurime shoqerore, eshte pasqyruar saktesisht si shpenzim me vleren e realizuar dhe te dokumentuar.</w:t>
      </w:r>
    </w:p>
    <w:p w:rsidR="0067529D" w:rsidRPr="00EB2DD9" w:rsidRDefault="00792B75" w:rsidP="001B6FCD">
      <w:pPr>
        <w:ind w:left="374"/>
        <w:jc w:val="both"/>
        <w:rPr>
          <w:sz w:val="22"/>
          <w:szCs w:val="22"/>
        </w:rPr>
      </w:pPr>
      <w:r w:rsidRPr="00EB2DD9">
        <w:rPr>
          <w:sz w:val="22"/>
          <w:szCs w:val="22"/>
        </w:rPr>
        <w:t xml:space="preserve">Taksat </w:t>
      </w:r>
      <w:r w:rsidR="00655A5E" w:rsidRPr="00EB2DD9">
        <w:rPr>
          <w:sz w:val="22"/>
          <w:szCs w:val="22"/>
        </w:rPr>
        <w:t xml:space="preserve"> </w:t>
      </w:r>
      <w:r w:rsidRPr="00EB2DD9">
        <w:rPr>
          <w:sz w:val="22"/>
          <w:szCs w:val="22"/>
        </w:rPr>
        <w:t>lokale e taksa e tatime te tjera qe lidhen me biznesin  jane llogaritur dhe pasqyruar ne llogarite e ushtrimit.</w:t>
      </w:r>
      <w:r w:rsidR="00B13BA2" w:rsidRPr="00EB2DD9">
        <w:rPr>
          <w:sz w:val="22"/>
          <w:szCs w:val="22"/>
        </w:rPr>
        <w:t xml:space="preserve"> </w:t>
      </w:r>
    </w:p>
    <w:p w:rsidR="0067529D" w:rsidRPr="00EB2DD9" w:rsidRDefault="0067529D" w:rsidP="001B6FCD">
      <w:pPr>
        <w:ind w:left="374"/>
        <w:jc w:val="both"/>
        <w:rPr>
          <w:sz w:val="22"/>
          <w:szCs w:val="22"/>
        </w:rPr>
      </w:pPr>
      <w:r w:rsidRPr="00EB2DD9">
        <w:rPr>
          <w:sz w:val="22"/>
          <w:szCs w:val="22"/>
        </w:rPr>
        <w:t xml:space="preserve">Shpenzimet e tjera qe ne nje mase te konsiderueshme perbehen nga Furnitura , nentrajtime dhe sherbime nga te trete paraqitet e analizuar sipas pasqyres se mesiperme . </w:t>
      </w:r>
    </w:p>
    <w:p w:rsidR="002C0E89" w:rsidRPr="00EB2DD9" w:rsidRDefault="00C81D14" w:rsidP="001B6FCD">
      <w:pPr>
        <w:ind w:left="374"/>
        <w:jc w:val="both"/>
        <w:rPr>
          <w:sz w:val="22"/>
          <w:szCs w:val="22"/>
        </w:rPr>
      </w:pPr>
      <w:r w:rsidRPr="00EB2DD9">
        <w:rPr>
          <w:sz w:val="22"/>
          <w:szCs w:val="22"/>
          <w:lang w:val="nb-NO"/>
        </w:rPr>
        <w:t>Si</w:t>
      </w:r>
      <w:r w:rsidR="00B405E2" w:rsidRPr="00EB2DD9">
        <w:rPr>
          <w:sz w:val="22"/>
          <w:szCs w:val="22"/>
          <w:lang w:val="nb-NO"/>
        </w:rPr>
        <w:t xml:space="preserve">pas natyres se tyre </w:t>
      </w:r>
      <w:r w:rsidR="00EF27A5" w:rsidRPr="00EB2DD9">
        <w:rPr>
          <w:sz w:val="22"/>
          <w:szCs w:val="22"/>
          <w:lang w:val="nb-NO"/>
        </w:rPr>
        <w:t xml:space="preserve"> </w:t>
      </w:r>
      <w:r w:rsidR="00F92BD2" w:rsidRPr="00EB2DD9">
        <w:rPr>
          <w:sz w:val="22"/>
          <w:szCs w:val="22"/>
          <w:lang w:val="nb-NO"/>
        </w:rPr>
        <w:t xml:space="preserve">shpenzimet e </w:t>
      </w:r>
      <w:r w:rsidR="00EF27A5" w:rsidRPr="00EB2DD9">
        <w:rPr>
          <w:sz w:val="22"/>
          <w:szCs w:val="22"/>
          <w:lang w:val="nb-NO"/>
        </w:rPr>
        <w:t>ushtrimi</w:t>
      </w:r>
      <w:r w:rsidR="00A0532E">
        <w:rPr>
          <w:sz w:val="22"/>
          <w:szCs w:val="22"/>
          <w:lang w:val="nb-NO"/>
        </w:rPr>
        <w:t>t 201</w:t>
      </w:r>
      <w:r w:rsidR="007E6E6F">
        <w:rPr>
          <w:sz w:val="22"/>
          <w:szCs w:val="22"/>
          <w:lang w:val="nb-NO"/>
        </w:rPr>
        <w:t>2</w:t>
      </w:r>
      <w:r w:rsidR="00EB777F">
        <w:rPr>
          <w:sz w:val="22"/>
          <w:szCs w:val="22"/>
          <w:lang w:val="nb-NO"/>
        </w:rPr>
        <w:t xml:space="preserve"> </w:t>
      </w:r>
      <w:r w:rsidR="00EF27A5" w:rsidRPr="00EB2DD9">
        <w:rPr>
          <w:sz w:val="22"/>
          <w:szCs w:val="22"/>
          <w:lang w:val="nb-NO"/>
        </w:rPr>
        <w:t>jane treg</w:t>
      </w:r>
      <w:r w:rsidR="00F92BD2" w:rsidRPr="00EB2DD9">
        <w:rPr>
          <w:sz w:val="22"/>
          <w:szCs w:val="22"/>
          <w:lang w:val="nb-NO"/>
        </w:rPr>
        <w:t>uar</w:t>
      </w:r>
      <w:r w:rsidR="00EF27A5" w:rsidRPr="00EB2DD9">
        <w:rPr>
          <w:sz w:val="22"/>
          <w:szCs w:val="22"/>
          <w:lang w:val="nb-NO"/>
        </w:rPr>
        <w:t xml:space="preserve"> ne pasqyren perkatese.</w:t>
      </w:r>
      <w:r w:rsidR="00342C56" w:rsidRPr="00EB2DD9">
        <w:rPr>
          <w:sz w:val="22"/>
          <w:szCs w:val="22"/>
        </w:rPr>
        <w:t xml:space="preserve"> </w:t>
      </w:r>
    </w:p>
    <w:p w:rsidR="00EF27A5" w:rsidRPr="00EB2DD9" w:rsidRDefault="00EF27A5" w:rsidP="001B6FCD">
      <w:pPr>
        <w:ind w:firstLine="360"/>
        <w:jc w:val="both"/>
        <w:rPr>
          <w:sz w:val="22"/>
          <w:szCs w:val="22"/>
          <w:lang w:val="nb-NO"/>
        </w:rPr>
      </w:pPr>
    </w:p>
    <w:p w:rsidR="00212E6F" w:rsidRPr="00EB2DD9" w:rsidRDefault="00F00DFE" w:rsidP="001B6FCD">
      <w:pPr>
        <w:numPr>
          <w:ilvl w:val="0"/>
          <w:numId w:val="5"/>
        </w:numPr>
        <w:jc w:val="both"/>
        <w:rPr>
          <w:b/>
          <w:sz w:val="22"/>
          <w:szCs w:val="22"/>
          <w:lang w:val="nb-NO"/>
        </w:rPr>
      </w:pPr>
      <w:r w:rsidRPr="00EB2DD9">
        <w:rPr>
          <w:b/>
          <w:sz w:val="22"/>
          <w:szCs w:val="22"/>
          <w:lang w:val="pt-BR"/>
        </w:rPr>
        <w:t>Te ardhurat dhe shpenzimet financiare</w:t>
      </w:r>
    </w:p>
    <w:p w:rsidR="00F2662E" w:rsidRPr="00EB2DD9" w:rsidRDefault="00F2662E" w:rsidP="001B6FCD">
      <w:pPr>
        <w:ind w:left="720"/>
        <w:jc w:val="both"/>
        <w:rPr>
          <w:b/>
          <w:sz w:val="22"/>
          <w:szCs w:val="22"/>
          <w:lang w:val="nb-NO"/>
        </w:rPr>
      </w:pPr>
    </w:p>
    <w:p w:rsidR="00EF27A5" w:rsidRPr="00EB2DD9" w:rsidRDefault="00212E6F" w:rsidP="001B6FCD">
      <w:pPr>
        <w:ind w:firstLine="360"/>
        <w:jc w:val="both"/>
        <w:rPr>
          <w:sz w:val="22"/>
          <w:szCs w:val="22"/>
          <w:lang w:val="nb-NO"/>
        </w:rPr>
      </w:pPr>
      <w:r w:rsidRPr="00EB2DD9">
        <w:rPr>
          <w:sz w:val="22"/>
          <w:szCs w:val="22"/>
          <w:lang w:val="nb-NO"/>
        </w:rPr>
        <w:t>Jane paraqitur si diference e te ardhurave me shpenzimet  sipas</w:t>
      </w:r>
      <w:r w:rsidR="00FB4A65" w:rsidRPr="00EB2DD9">
        <w:rPr>
          <w:sz w:val="22"/>
          <w:szCs w:val="22"/>
          <w:lang w:val="nb-NO"/>
        </w:rPr>
        <w:t xml:space="preserve"> kerkesave te  standarteve</w:t>
      </w:r>
      <w:r w:rsidRPr="00EB2DD9">
        <w:rPr>
          <w:sz w:val="22"/>
          <w:szCs w:val="22"/>
          <w:lang w:val="nb-NO"/>
        </w:rPr>
        <w:t>.</w:t>
      </w:r>
    </w:p>
    <w:p w:rsidR="00C56823" w:rsidRDefault="00C56823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C56823" w:rsidRDefault="00C56823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C56823" w:rsidRDefault="00C56823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C56823" w:rsidRDefault="00C56823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C56823" w:rsidRDefault="00C56823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</w:p>
    <w:p w:rsidR="00AF4FF9" w:rsidRPr="006F3B3C" w:rsidRDefault="00AF4FF9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 w:rsidRPr="00AF4FF9">
        <w:rPr>
          <w:rFonts w:ascii="Century Gothic" w:hAnsi="Century Gothic"/>
          <w:b/>
          <w:bCs/>
          <w:sz w:val="22"/>
          <w:szCs w:val="22"/>
          <w:lang w:val="nl-NL"/>
        </w:rPr>
        <w:t xml:space="preserve"> </w:t>
      </w: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t>S</w:t>
      </w:r>
      <w:r>
        <w:rPr>
          <w:rFonts w:ascii="Century Gothic" w:hAnsi="Century Gothic"/>
          <w:b/>
          <w:bCs/>
          <w:sz w:val="22"/>
          <w:szCs w:val="22"/>
          <w:lang w:val="nl-NL"/>
        </w:rPr>
        <w:t xml:space="preserve">HENIME PER PASQYRAT FINANCIARE </w:t>
      </w:r>
    </w:p>
    <w:p w:rsidR="00AF4FF9" w:rsidRPr="00B1225B" w:rsidRDefault="00AF4FF9" w:rsidP="00AF4FF9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>vitet ushtrimor te mbyllur më</w:t>
      </w:r>
      <w:r w:rsidR="00A0532E">
        <w:rPr>
          <w:rFonts w:ascii="Century Gothic" w:hAnsi="Century Gothic"/>
          <w:b/>
          <w:bCs/>
          <w:sz w:val="22"/>
          <w:szCs w:val="22"/>
          <w:lang w:val="pt-BR"/>
        </w:rPr>
        <w:t xml:space="preserve"> 31 Dhjetor 201</w:t>
      </w:r>
      <w:r w:rsidR="005438BD">
        <w:rPr>
          <w:rFonts w:ascii="Century Gothic" w:hAnsi="Century Gothic"/>
          <w:b/>
          <w:bCs/>
          <w:sz w:val="22"/>
          <w:szCs w:val="22"/>
          <w:lang w:val="pt-BR"/>
        </w:rPr>
        <w:t>1</w:t>
      </w:r>
      <w:r w:rsidR="00C56823">
        <w:rPr>
          <w:rFonts w:ascii="Century Gothic" w:hAnsi="Century Gothic"/>
          <w:b/>
          <w:bCs/>
          <w:sz w:val="22"/>
          <w:szCs w:val="22"/>
          <w:lang w:val="pt-BR"/>
        </w:rPr>
        <w:t xml:space="preserve"> dhe 20</w:t>
      </w:r>
      <w:r w:rsidR="005438BD">
        <w:rPr>
          <w:rFonts w:ascii="Century Gothic" w:hAnsi="Century Gothic"/>
          <w:b/>
          <w:bCs/>
          <w:sz w:val="22"/>
          <w:szCs w:val="22"/>
          <w:lang w:val="pt-BR"/>
        </w:rPr>
        <w:t>10</w:t>
      </w:r>
    </w:p>
    <w:p w:rsidR="00AF4FF9" w:rsidRPr="006F3B3C" w:rsidRDefault="00AF4FF9" w:rsidP="00AF4FF9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pt-BR"/>
        </w:rPr>
      </w:pPr>
      <w:r w:rsidRPr="006F3B3C">
        <w:rPr>
          <w:rFonts w:ascii="Century Gothic" w:hAnsi="Century Gothic"/>
          <w:b/>
          <w:bCs/>
          <w:sz w:val="18"/>
          <w:szCs w:val="18"/>
          <w:lang w:val="pt-BR"/>
        </w:rPr>
        <w:t>(Të gjitha balancat janë në lekë</w:t>
      </w:r>
      <w:r>
        <w:rPr>
          <w:rFonts w:ascii="Century Gothic" w:hAnsi="Century Gothic"/>
          <w:b/>
          <w:bCs/>
          <w:sz w:val="18"/>
          <w:szCs w:val="18"/>
          <w:lang w:val="pt-BR"/>
        </w:rPr>
        <w:t>).</w:t>
      </w:r>
    </w:p>
    <w:p w:rsidR="003821D3" w:rsidRPr="00EB2DD9" w:rsidRDefault="003821D3" w:rsidP="001B6FCD">
      <w:pPr>
        <w:ind w:firstLine="360"/>
        <w:jc w:val="both"/>
        <w:rPr>
          <w:sz w:val="22"/>
          <w:szCs w:val="22"/>
          <w:lang w:val="nb-NO"/>
        </w:rPr>
      </w:pPr>
    </w:p>
    <w:p w:rsidR="00FB4A65" w:rsidRPr="00EB2DD9" w:rsidRDefault="005003A3" w:rsidP="001B6FCD">
      <w:pPr>
        <w:ind w:firstLine="360"/>
        <w:jc w:val="both"/>
        <w:rPr>
          <w:b/>
          <w:sz w:val="20"/>
          <w:szCs w:val="20"/>
          <w:lang w:val="it-IT"/>
        </w:rPr>
      </w:pPr>
      <w:r w:rsidRPr="00EB2DD9">
        <w:rPr>
          <w:b/>
          <w:sz w:val="20"/>
          <w:szCs w:val="20"/>
          <w:lang w:val="it-IT"/>
        </w:rPr>
        <w:object w:dxaOrig="8376" w:dyaOrig="2344">
          <v:shape id="_x0000_i1035" type="#_x0000_t75" style="width:418.45pt;height:116.9pt" o:ole="">
            <v:imagedata r:id="rId32" o:title=""/>
          </v:shape>
          <o:OLEObject Type="Embed" ProgID="Excel.Sheet.8" ShapeID="_x0000_i1035" DrawAspect="Content" ObjectID="_1700743863" r:id="rId33"/>
        </w:object>
      </w:r>
    </w:p>
    <w:p w:rsidR="00666BEC" w:rsidRPr="00EB2DD9" w:rsidRDefault="00666BEC" w:rsidP="001B6FCD">
      <w:pPr>
        <w:ind w:firstLine="360"/>
        <w:jc w:val="both"/>
        <w:rPr>
          <w:b/>
          <w:sz w:val="20"/>
          <w:szCs w:val="20"/>
          <w:lang w:val="it-IT"/>
        </w:rPr>
      </w:pPr>
    </w:p>
    <w:p w:rsidR="002F3CEA" w:rsidRPr="00EB2DD9" w:rsidRDefault="002F3CEA" w:rsidP="001B6FCD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EB2DD9">
        <w:rPr>
          <w:b/>
          <w:sz w:val="22"/>
          <w:szCs w:val="22"/>
        </w:rPr>
        <w:t>Shpenzime personeli</w:t>
      </w:r>
    </w:p>
    <w:p w:rsidR="00655A5E" w:rsidRPr="00EB2DD9" w:rsidRDefault="00655A5E" w:rsidP="001B6FCD">
      <w:pPr>
        <w:ind w:left="720"/>
        <w:jc w:val="both"/>
        <w:rPr>
          <w:b/>
          <w:sz w:val="22"/>
          <w:szCs w:val="22"/>
        </w:rPr>
      </w:pPr>
    </w:p>
    <w:p w:rsidR="00655A5E" w:rsidRPr="00EB2DD9" w:rsidRDefault="002F3CEA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 xml:space="preserve">Numri mesatar </w:t>
      </w:r>
      <w:r w:rsidR="00172C51" w:rsidRPr="00EB2DD9">
        <w:rPr>
          <w:sz w:val="22"/>
          <w:szCs w:val="22"/>
        </w:rPr>
        <w:t xml:space="preserve">i </w:t>
      </w:r>
      <w:r w:rsidRPr="00EB2DD9">
        <w:rPr>
          <w:sz w:val="22"/>
          <w:szCs w:val="22"/>
        </w:rPr>
        <w:t>punonjesve</w:t>
      </w:r>
      <w:r w:rsidR="009F023F" w:rsidRPr="00EB2DD9">
        <w:rPr>
          <w:sz w:val="22"/>
          <w:szCs w:val="22"/>
        </w:rPr>
        <w:t xml:space="preserve"> dhe pagat </w:t>
      </w:r>
      <w:r w:rsidR="00655A5E" w:rsidRPr="00EB2DD9">
        <w:rPr>
          <w:sz w:val="22"/>
          <w:szCs w:val="22"/>
        </w:rPr>
        <w:t xml:space="preserve">sipas </w:t>
      </w:r>
      <w:r w:rsidRPr="00EB2DD9">
        <w:rPr>
          <w:sz w:val="22"/>
          <w:szCs w:val="22"/>
        </w:rPr>
        <w:t xml:space="preserve"> kategorite kryesore </w:t>
      </w:r>
      <w:r w:rsidR="007737B3" w:rsidRPr="00EB2DD9">
        <w:rPr>
          <w:sz w:val="22"/>
          <w:szCs w:val="22"/>
        </w:rPr>
        <w:t>jane</w:t>
      </w:r>
      <w:r w:rsidRPr="00EB2DD9">
        <w:rPr>
          <w:sz w:val="22"/>
          <w:szCs w:val="22"/>
        </w:rPr>
        <w:t xml:space="preserve"> si me poshte :</w:t>
      </w:r>
      <w:r w:rsidRPr="00EB2DD9">
        <w:rPr>
          <w:sz w:val="22"/>
          <w:szCs w:val="22"/>
        </w:rPr>
        <w:tab/>
      </w:r>
    </w:p>
    <w:p w:rsidR="002F3CEA" w:rsidRPr="00EB2DD9" w:rsidRDefault="002F3CEA" w:rsidP="001B6FCD">
      <w:pPr>
        <w:ind w:left="360"/>
        <w:jc w:val="both"/>
        <w:rPr>
          <w:sz w:val="22"/>
          <w:szCs w:val="22"/>
        </w:rPr>
      </w:pPr>
      <w:r w:rsidRPr="00EB2DD9">
        <w:rPr>
          <w:sz w:val="22"/>
          <w:szCs w:val="22"/>
        </w:rPr>
        <w:tab/>
      </w:r>
      <w:r w:rsidRPr="00EB2DD9">
        <w:rPr>
          <w:sz w:val="22"/>
          <w:szCs w:val="22"/>
        </w:rPr>
        <w:tab/>
      </w:r>
    </w:p>
    <w:p w:rsidR="005A7C46" w:rsidRPr="00EB2DD9" w:rsidRDefault="00B03B83" w:rsidP="00E7346D">
      <w:pPr>
        <w:ind w:left="360"/>
        <w:jc w:val="both"/>
        <w:rPr>
          <w:b/>
          <w:sz w:val="22"/>
          <w:szCs w:val="22"/>
          <w:u w:val="single"/>
        </w:rPr>
      </w:pPr>
      <w:r w:rsidRPr="00EB2DD9">
        <w:rPr>
          <w:sz w:val="22"/>
          <w:szCs w:val="22"/>
        </w:rPr>
        <w:object w:dxaOrig="8474" w:dyaOrig="2041">
          <v:shape id="_x0000_i1036" type="#_x0000_t75" style="width:423.45pt;height:101.95pt" o:ole="">
            <v:imagedata r:id="rId34" o:title=""/>
          </v:shape>
          <o:OLEObject Type="Embed" ProgID="Excel.Sheet.8" ShapeID="_x0000_i1036" DrawAspect="Content" ObjectID="_1700743864" r:id="rId35"/>
        </w:object>
      </w:r>
    </w:p>
    <w:p w:rsidR="008013DF" w:rsidRPr="00EB2DD9" w:rsidRDefault="008013DF" w:rsidP="001B6FCD">
      <w:pPr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 w:rsidRPr="00EB2DD9">
        <w:rPr>
          <w:b/>
          <w:sz w:val="22"/>
          <w:szCs w:val="22"/>
        </w:rPr>
        <w:t>Shpenzime</w:t>
      </w:r>
      <w:r w:rsidR="003460AC" w:rsidRPr="00EB2DD9">
        <w:rPr>
          <w:b/>
          <w:sz w:val="22"/>
          <w:szCs w:val="22"/>
        </w:rPr>
        <w:t xml:space="preserve">t e </w:t>
      </w:r>
      <w:r w:rsidRPr="00EB2DD9">
        <w:rPr>
          <w:b/>
          <w:sz w:val="22"/>
          <w:szCs w:val="22"/>
        </w:rPr>
        <w:t xml:space="preserve"> tatim</w:t>
      </w:r>
      <w:r w:rsidR="003460AC" w:rsidRPr="00EB2DD9">
        <w:rPr>
          <w:b/>
          <w:sz w:val="22"/>
          <w:szCs w:val="22"/>
        </w:rPr>
        <w:t xml:space="preserve">it mbi </w:t>
      </w:r>
      <w:r w:rsidRPr="00EB2DD9">
        <w:rPr>
          <w:b/>
          <w:sz w:val="22"/>
          <w:szCs w:val="22"/>
        </w:rPr>
        <w:t xml:space="preserve"> fitimi</w:t>
      </w:r>
      <w:r w:rsidR="003460AC" w:rsidRPr="00EB2DD9">
        <w:rPr>
          <w:b/>
          <w:sz w:val="22"/>
          <w:szCs w:val="22"/>
        </w:rPr>
        <w:t>n</w:t>
      </w:r>
    </w:p>
    <w:p w:rsidR="0028519E" w:rsidRPr="00EB2DD9" w:rsidRDefault="0028519E" w:rsidP="001B6FCD">
      <w:pPr>
        <w:jc w:val="both"/>
        <w:rPr>
          <w:b/>
          <w:color w:val="000000"/>
          <w:sz w:val="22"/>
          <w:szCs w:val="22"/>
        </w:rPr>
      </w:pPr>
    </w:p>
    <w:p w:rsidR="009537E9" w:rsidRPr="00EB2DD9" w:rsidRDefault="009537E9" w:rsidP="001B6FCD">
      <w:pPr>
        <w:pStyle w:val="BodyText"/>
        <w:ind w:left="432"/>
        <w:rPr>
          <w:sz w:val="22"/>
          <w:szCs w:val="22"/>
          <w:lang w:val="it-IT"/>
        </w:rPr>
      </w:pPr>
      <w:r w:rsidRPr="00EB2DD9">
        <w:rPr>
          <w:sz w:val="22"/>
          <w:szCs w:val="22"/>
          <w:lang w:val="it-IT"/>
        </w:rPr>
        <w:t>Shpenzimet e tatimi mbi fiti</w:t>
      </w:r>
      <w:r w:rsidR="009C546A">
        <w:rPr>
          <w:sz w:val="22"/>
          <w:szCs w:val="22"/>
          <w:lang w:val="it-IT"/>
        </w:rPr>
        <w:t>min per ushtrimin kontabel  201</w:t>
      </w:r>
      <w:r w:rsidR="005438BD">
        <w:rPr>
          <w:sz w:val="22"/>
          <w:szCs w:val="22"/>
          <w:lang w:val="it-IT"/>
        </w:rPr>
        <w:t>1</w:t>
      </w:r>
      <w:r w:rsidR="009C546A">
        <w:rPr>
          <w:sz w:val="22"/>
          <w:szCs w:val="22"/>
          <w:lang w:val="it-IT"/>
        </w:rPr>
        <w:t xml:space="preserve"> dhe 20</w:t>
      </w:r>
      <w:r w:rsidR="005438BD">
        <w:rPr>
          <w:sz w:val="22"/>
          <w:szCs w:val="22"/>
          <w:lang w:val="it-IT"/>
        </w:rPr>
        <w:t>10</w:t>
      </w:r>
      <w:r w:rsidRPr="00EB2DD9">
        <w:rPr>
          <w:sz w:val="22"/>
          <w:szCs w:val="22"/>
          <w:lang w:val="it-IT"/>
        </w:rPr>
        <w:t xml:space="preserve"> jane si vijon:</w:t>
      </w:r>
    </w:p>
    <w:p w:rsidR="002F3CEA" w:rsidRPr="00EB2DD9" w:rsidRDefault="002F3CEA" w:rsidP="001B6FCD">
      <w:pPr>
        <w:pStyle w:val="BodyText"/>
        <w:ind w:left="432"/>
        <w:rPr>
          <w:sz w:val="22"/>
          <w:szCs w:val="22"/>
          <w:lang w:val="it-IT"/>
        </w:rPr>
      </w:pPr>
    </w:p>
    <w:p w:rsidR="00C06D77" w:rsidRPr="00C06D77" w:rsidRDefault="00A5327E" w:rsidP="00C06D77">
      <w:pPr>
        <w:ind w:left="360" w:firstLine="72"/>
        <w:jc w:val="both"/>
        <w:rPr>
          <w:b/>
          <w:sz w:val="20"/>
          <w:szCs w:val="20"/>
          <w:lang w:val="it-IT"/>
        </w:rPr>
      </w:pPr>
      <w:r w:rsidRPr="00EB2DD9">
        <w:rPr>
          <w:b/>
          <w:sz w:val="20"/>
          <w:szCs w:val="20"/>
          <w:lang w:val="it-IT"/>
        </w:rPr>
        <w:object w:dxaOrig="8313" w:dyaOrig="4411">
          <v:shape id="_x0000_i1037" type="#_x0000_t75" style="width:415.6pt;height:220.3pt" o:ole="">
            <v:imagedata r:id="rId36" o:title=""/>
          </v:shape>
          <o:OLEObject Type="Embed" ProgID="Excel.Sheet.8" ShapeID="_x0000_i1037" DrawAspect="Content" ObjectID="_1700743865" r:id="rId37"/>
        </w:object>
      </w:r>
    </w:p>
    <w:p w:rsidR="00C56823" w:rsidRDefault="009537E9" w:rsidP="00AF4FF9">
      <w:pPr>
        <w:widowControl w:val="0"/>
        <w:rPr>
          <w:sz w:val="22"/>
          <w:szCs w:val="22"/>
        </w:rPr>
      </w:pPr>
      <w:r w:rsidRPr="00EB2DD9">
        <w:rPr>
          <w:sz w:val="22"/>
          <w:szCs w:val="22"/>
        </w:rPr>
        <w:t xml:space="preserve">Tatim fitimi i ushtrimit eshte i llogaritur mbi fitimin e tatushem, i cili  eshte rregulluar nga  shpenzimet  e panjohura sipas legjistacionit fiscal, analizuar ne tabelen e mesiperme. </w:t>
      </w:r>
    </w:p>
    <w:p w:rsidR="00C56823" w:rsidRDefault="00C56823" w:rsidP="00AF4FF9">
      <w:pPr>
        <w:widowControl w:val="0"/>
        <w:rPr>
          <w:sz w:val="22"/>
          <w:szCs w:val="22"/>
        </w:rPr>
      </w:pPr>
    </w:p>
    <w:p w:rsidR="00A11B41" w:rsidRDefault="00A11B41" w:rsidP="00AF4FF9">
      <w:pPr>
        <w:widowControl w:val="0"/>
        <w:rPr>
          <w:sz w:val="22"/>
          <w:szCs w:val="22"/>
        </w:rPr>
      </w:pPr>
    </w:p>
    <w:p w:rsidR="00C56823" w:rsidRPr="006F3B3C" w:rsidRDefault="00C56823" w:rsidP="00C56823">
      <w:pPr>
        <w:widowControl w:val="0"/>
        <w:rPr>
          <w:rFonts w:ascii="Century Gothic" w:hAnsi="Century Gothic"/>
          <w:b/>
          <w:bCs/>
          <w:sz w:val="22"/>
          <w:szCs w:val="22"/>
          <w:lang w:val="nl-NL"/>
        </w:rPr>
      </w:pPr>
      <w:r w:rsidRPr="006F3B3C">
        <w:rPr>
          <w:rFonts w:ascii="Century Gothic" w:hAnsi="Century Gothic"/>
          <w:b/>
          <w:bCs/>
          <w:sz w:val="22"/>
          <w:szCs w:val="22"/>
          <w:lang w:val="nl-NL"/>
        </w:rPr>
        <w:t>S</w:t>
      </w:r>
      <w:r>
        <w:rPr>
          <w:rFonts w:ascii="Century Gothic" w:hAnsi="Century Gothic"/>
          <w:b/>
          <w:bCs/>
          <w:sz w:val="22"/>
          <w:szCs w:val="22"/>
          <w:lang w:val="nl-NL"/>
        </w:rPr>
        <w:t xml:space="preserve">HENIME PER PASQYRAT FINANCIARE </w:t>
      </w:r>
    </w:p>
    <w:p w:rsidR="00C56823" w:rsidRPr="00B1225B" w:rsidRDefault="00C56823" w:rsidP="00C56823">
      <w:pPr>
        <w:widowControl w:val="0"/>
        <w:rPr>
          <w:rFonts w:ascii="Century Gothic" w:hAnsi="Century Gothic"/>
          <w:b/>
          <w:bCs/>
          <w:sz w:val="22"/>
          <w:szCs w:val="22"/>
          <w:lang w:val="pt-BR"/>
        </w:rPr>
      </w:pPr>
      <w:r w:rsidRPr="00B1225B">
        <w:rPr>
          <w:rFonts w:ascii="Century Gothic" w:hAnsi="Century Gothic"/>
          <w:b/>
          <w:bCs/>
          <w:sz w:val="22"/>
          <w:szCs w:val="22"/>
          <w:lang w:val="pt-BR"/>
        </w:rPr>
        <w:t xml:space="preserve">Për </w:t>
      </w:r>
      <w:r>
        <w:rPr>
          <w:rFonts w:ascii="Century Gothic" w:hAnsi="Century Gothic"/>
          <w:b/>
          <w:bCs/>
          <w:sz w:val="22"/>
          <w:szCs w:val="22"/>
          <w:lang w:val="pt-BR"/>
        </w:rPr>
        <w:t>vitet ushtrimor te mbyllur më</w:t>
      </w:r>
      <w:r w:rsidR="008B2D28">
        <w:rPr>
          <w:rFonts w:ascii="Century Gothic" w:hAnsi="Century Gothic"/>
          <w:b/>
          <w:bCs/>
          <w:sz w:val="22"/>
          <w:szCs w:val="22"/>
          <w:lang w:val="pt-BR"/>
        </w:rPr>
        <w:t xml:space="preserve"> 31 Dhjetor 201</w:t>
      </w:r>
      <w:r w:rsidR="00A11B41">
        <w:rPr>
          <w:rFonts w:ascii="Century Gothic" w:hAnsi="Century Gothic"/>
          <w:b/>
          <w:bCs/>
          <w:sz w:val="22"/>
          <w:szCs w:val="22"/>
          <w:lang w:val="pt-BR"/>
        </w:rPr>
        <w:t>2</w:t>
      </w:r>
      <w:r w:rsidR="008B2D28">
        <w:rPr>
          <w:rFonts w:ascii="Century Gothic" w:hAnsi="Century Gothic"/>
          <w:b/>
          <w:bCs/>
          <w:sz w:val="22"/>
          <w:szCs w:val="22"/>
          <w:lang w:val="pt-BR"/>
        </w:rPr>
        <w:t xml:space="preserve"> dhe 20</w:t>
      </w:r>
      <w:r w:rsidR="00A11B41">
        <w:rPr>
          <w:rFonts w:ascii="Century Gothic" w:hAnsi="Century Gothic"/>
          <w:b/>
          <w:bCs/>
          <w:sz w:val="22"/>
          <w:szCs w:val="22"/>
          <w:lang w:val="pt-BR"/>
        </w:rPr>
        <w:t>11</w:t>
      </w:r>
    </w:p>
    <w:p w:rsidR="00C56823" w:rsidRPr="006F3B3C" w:rsidRDefault="00C56823" w:rsidP="00C56823">
      <w:pPr>
        <w:pStyle w:val="BodyText"/>
        <w:pBdr>
          <w:bottom w:val="single" w:sz="4" w:space="1" w:color="333333"/>
        </w:pBdr>
        <w:rPr>
          <w:rFonts w:ascii="Arial Narrow" w:hAnsi="Arial Narrow" w:cs="Arial"/>
          <w:sz w:val="18"/>
          <w:szCs w:val="18"/>
          <w:lang w:val="pt-BR"/>
        </w:rPr>
      </w:pPr>
      <w:r w:rsidRPr="006F3B3C">
        <w:rPr>
          <w:rFonts w:ascii="Century Gothic" w:hAnsi="Century Gothic"/>
          <w:b/>
          <w:bCs/>
          <w:sz w:val="18"/>
          <w:szCs w:val="18"/>
          <w:lang w:val="pt-BR"/>
        </w:rPr>
        <w:t>(Të gjitha balancat janë në lekë</w:t>
      </w:r>
      <w:r>
        <w:rPr>
          <w:rFonts w:ascii="Century Gothic" w:hAnsi="Century Gothic"/>
          <w:b/>
          <w:bCs/>
          <w:sz w:val="18"/>
          <w:szCs w:val="18"/>
          <w:lang w:val="pt-BR"/>
        </w:rPr>
        <w:t>).</w:t>
      </w:r>
    </w:p>
    <w:p w:rsidR="00C56823" w:rsidRDefault="00C56823" w:rsidP="00C56823">
      <w:pPr>
        <w:widowControl w:val="0"/>
        <w:rPr>
          <w:sz w:val="22"/>
          <w:szCs w:val="22"/>
        </w:rPr>
      </w:pPr>
    </w:p>
    <w:p w:rsidR="009537E9" w:rsidRPr="0025618F" w:rsidRDefault="00C56823" w:rsidP="0025618F">
      <w:pPr>
        <w:pStyle w:val="BodyText"/>
        <w:ind w:left="432"/>
        <w:rPr>
          <w:sz w:val="22"/>
          <w:szCs w:val="22"/>
        </w:rPr>
      </w:pPr>
      <w:r w:rsidRPr="00EB2DD9">
        <w:rPr>
          <w:sz w:val="22"/>
          <w:szCs w:val="22"/>
        </w:rPr>
        <w:t xml:space="preserve">Si </w:t>
      </w:r>
      <w:r w:rsidR="009537E9" w:rsidRPr="00EB2DD9">
        <w:rPr>
          <w:sz w:val="22"/>
          <w:szCs w:val="22"/>
        </w:rPr>
        <w:t xml:space="preserve">shpenzime te pazbriteshme jane konsideruar edhe interesat bankare te ushtrimit </w:t>
      </w:r>
      <w:r w:rsidR="00A11B41">
        <w:rPr>
          <w:sz w:val="22"/>
          <w:szCs w:val="22"/>
        </w:rPr>
        <w:t>per shkak te tejkalimit te normes baze te interesave krahasuar me interesin e shpallur nga B.Sh.</w:t>
      </w:r>
    </w:p>
    <w:p w:rsidR="00EC5BAB" w:rsidRDefault="00EC5BAB" w:rsidP="001B6FCD">
      <w:pPr>
        <w:jc w:val="both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90"/>
        <w:tblW w:w="9432" w:type="dxa"/>
        <w:tblLook w:val="04A0"/>
      </w:tblPr>
      <w:tblGrid>
        <w:gridCol w:w="3846"/>
        <w:gridCol w:w="485"/>
        <w:gridCol w:w="3870"/>
        <w:gridCol w:w="1231"/>
      </w:tblGrid>
      <w:tr w:rsidR="0025618F" w:rsidRPr="00EB6AEE" w:rsidTr="0025618F">
        <w:trPr>
          <w:trHeight w:val="255"/>
        </w:trPr>
        <w:tc>
          <w:tcPr>
            <w:tcW w:w="4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37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88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noWrap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center"/>
              <w:rPr>
                <w:rFonts w:ascii="Microsoft Sans Serif" w:hAnsi="Microsoft Sans Serif" w:cs="Microsoft Sans Serif"/>
                <w:b/>
                <w:bCs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arial(Western)" w:hAnsi="arial(Western)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arial(Western)" w:hAnsi="arial(Western)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arial(Western)" w:hAnsi="arial(Western)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arial(Western)" w:hAnsi="arial(Western)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25618F" w:rsidRPr="00EB6AEE" w:rsidTr="0025618F">
        <w:trPr>
          <w:trHeight w:val="255"/>
        </w:trPr>
        <w:tc>
          <w:tcPr>
            <w:tcW w:w="8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18F" w:rsidRPr="00EB6AEE" w:rsidRDefault="0025618F" w:rsidP="0025618F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F" w:rsidRPr="00EB6AEE" w:rsidRDefault="0025618F" w:rsidP="0025618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</w:tbl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B6AEE" w:rsidRPr="00EB2DD9" w:rsidRDefault="00EB6AEE" w:rsidP="00EB6AEE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EB2DD9">
        <w:rPr>
          <w:b/>
          <w:sz w:val="22"/>
          <w:szCs w:val="22"/>
          <w:u w:val="single"/>
          <w:lang w:val="pt-BR"/>
        </w:rPr>
        <w:t>Transaksione te paleve te lidhura</w:t>
      </w:r>
    </w:p>
    <w:p w:rsidR="00EB6AEE" w:rsidRPr="00EB2DD9" w:rsidRDefault="00EB6AEE" w:rsidP="00EB6AEE">
      <w:pPr>
        <w:jc w:val="both"/>
        <w:rPr>
          <w:b/>
          <w:sz w:val="22"/>
          <w:szCs w:val="22"/>
          <w:u w:val="single"/>
        </w:rPr>
      </w:pPr>
    </w:p>
    <w:p w:rsidR="00EB6AEE" w:rsidRPr="00EF4BC3" w:rsidRDefault="00EB6AEE" w:rsidP="00EB6AEE">
      <w:pPr>
        <w:ind w:left="360"/>
        <w:jc w:val="both"/>
        <w:rPr>
          <w:b/>
          <w:sz w:val="22"/>
          <w:szCs w:val="22"/>
          <w:u w:val="single"/>
          <w:lang w:val="es-ES"/>
        </w:rPr>
      </w:pPr>
      <w:r w:rsidRPr="00EF4BC3">
        <w:rPr>
          <w:sz w:val="22"/>
          <w:szCs w:val="22"/>
          <w:lang w:val="es-ES"/>
        </w:rPr>
        <w:t xml:space="preserve">Ne marrjen ne konsiderate te çdo transaksione dhe marredhenie te mundeshme, jo thjesht  formen ligjore te tyre </w:t>
      </w:r>
      <w:r w:rsidR="0025618F">
        <w:rPr>
          <w:sz w:val="22"/>
          <w:szCs w:val="22"/>
          <w:lang w:val="es-ES"/>
        </w:rPr>
        <w:t>,  ne  31 dhjetor 2012</w:t>
      </w:r>
      <w:r w:rsidRPr="00EF4BC3">
        <w:rPr>
          <w:sz w:val="22"/>
          <w:szCs w:val="22"/>
          <w:lang w:val="es-ES"/>
        </w:rPr>
        <w:t xml:space="preserve"> dhe 31 Dhjetor 20</w:t>
      </w:r>
      <w:r w:rsidR="0025618F">
        <w:rPr>
          <w:sz w:val="22"/>
          <w:szCs w:val="22"/>
          <w:lang w:val="es-ES"/>
        </w:rPr>
        <w:t>11</w:t>
      </w:r>
      <w:r w:rsidRPr="00EF4BC3">
        <w:rPr>
          <w:sz w:val="22"/>
          <w:szCs w:val="22"/>
          <w:lang w:val="es-ES"/>
        </w:rPr>
        <w:t xml:space="preserve"> nuk ka transaksione me palet e lidhura.</w:t>
      </w:r>
    </w:p>
    <w:p w:rsidR="00EB6AEE" w:rsidRPr="00EF4BC3" w:rsidRDefault="00EB6AEE" w:rsidP="00EB6AEE">
      <w:pPr>
        <w:jc w:val="both"/>
        <w:rPr>
          <w:b/>
          <w:sz w:val="22"/>
          <w:szCs w:val="22"/>
          <w:u w:val="single"/>
          <w:lang w:val="es-ES"/>
        </w:rPr>
      </w:pPr>
    </w:p>
    <w:p w:rsidR="00EB6AEE" w:rsidRPr="00EB2DD9" w:rsidRDefault="00EB6AEE" w:rsidP="00EB6AEE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EB2DD9">
        <w:rPr>
          <w:b/>
          <w:sz w:val="22"/>
          <w:szCs w:val="22"/>
          <w:u w:val="single"/>
        </w:rPr>
        <w:t>Ngjarjet pas dates se bilancit dhe vazhdimesia e shfrytezimit</w:t>
      </w:r>
    </w:p>
    <w:p w:rsidR="00EB6AEE" w:rsidRPr="00EB2DD9" w:rsidRDefault="00EB6AEE" w:rsidP="00EB6AEE">
      <w:pPr>
        <w:jc w:val="both"/>
        <w:rPr>
          <w:b/>
          <w:sz w:val="22"/>
          <w:szCs w:val="22"/>
          <w:u w:val="single"/>
        </w:rPr>
      </w:pPr>
    </w:p>
    <w:p w:rsidR="00EB6AEE" w:rsidRPr="00EB2DD9" w:rsidRDefault="00EB6AEE" w:rsidP="00EB6AEE">
      <w:pPr>
        <w:ind w:left="360"/>
        <w:jc w:val="both"/>
        <w:rPr>
          <w:sz w:val="22"/>
          <w:szCs w:val="22"/>
          <w:lang w:val="pt-BR"/>
        </w:rPr>
      </w:pPr>
      <w:r w:rsidRPr="00EB2DD9">
        <w:rPr>
          <w:sz w:val="22"/>
          <w:szCs w:val="22"/>
          <w:lang w:val="pt-BR"/>
        </w:rPr>
        <w:t>Asnje ngjarje e rendesishme nuk ka ndodhur pas dates se miratimit te pasqyrave financiare.</w:t>
      </w:r>
    </w:p>
    <w:p w:rsidR="0025618F" w:rsidRPr="0025618F" w:rsidRDefault="00EB6AEE" w:rsidP="0025618F">
      <w:pPr>
        <w:ind w:left="360"/>
        <w:jc w:val="both"/>
        <w:rPr>
          <w:b/>
          <w:sz w:val="22"/>
          <w:szCs w:val="22"/>
          <w:u w:val="single"/>
          <w:lang w:val="es-ES"/>
        </w:rPr>
      </w:pPr>
      <w:r w:rsidRPr="00C128F3">
        <w:rPr>
          <w:color w:val="000000"/>
          <w:sz w:val="22"/>
          <w:szCs w:val="22"/>
          <w:lang w:val="es-ES"/>
        </w:rPr>
        <w:t>Nga analiza e gjendjes dhe performances financiare te shoqeri</w:t>
      </w:r>
      <w:r>
        <w:rPr>
          <w:color w:val="000000"/>
          <w:sz w:val="22"/>
          <w:szCs w:val="22"/>
          <w:lang w:val="es-ES"/>
        </w:rPr>
        <w:t xml:space="preserve">se, rezulton se ne ushtrimin 2010 nuk </w:t>
      </w:r>
      <w:r w:rsidRPr="00C128F3">
        <w:rPr>
          <w:color w:val="000000"/>
          <w:sz w:val="22"/>
          <w:szCs w:val="22"/>
          <w:lang w:val="es-ES"/>
        </w:rPr>
        <w:t>eshte rritur shifra e afarizmit  dhe fitimi tregtar</w:t>
      </w:r>
      <w:r>
        <w:rPr>
          <w:color w:val="000000"/>
          <w:sz w:val="22"/>
          <w:szCs w:val="22"/>
          <w:lang w:val="es-ES"/>
        </w:rPr>
        <w:t>.</w:t>
      </w: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tbl>
      <w:tblPr>
        <w:tblW w:w="11714" w:type="dxa"/>
        <w:tblInd w:w="95" w:type="dxa"/>
        <w:tblLook w:val="04A0"/>
      </w:tblPr>
      <w:tblGrid>
        <w:gridCol w:w="473"/>
        <w:gridCol w:w="984"/>
        <w:gridCol w:w="984"/>
        <w:gridCol w:w="983"/>
        <w:gridCol w:w="983"/>
        <w:gridCol w:w="983"/>
        <w:gridCol w:w="1283"/>
        <w:gridCol w:w="1390"/>
        <w:gridCol w:w="1960"/>
        <w:gridCol w:w="1691"/>
      </w:tblGrid>
      <w:tr w:rsidR="00EF524F" w:rsidRPr="00EF524F" w:rsidTr="0025618F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SHOQERIA __"ENI"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524F" w:rsidRPr="00EF524F" w:rsidTr="0025618F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NIPT __J61826014D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Pasqyre Nr.2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524F" w:rsidRPr="00EF524F" w:rsidTr="0025618F">
        <w:trPr>
          <w:trHeight w:val="39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  <w:r w:rsidRPr="00EF524F">
              <w:rPr>
                <w:rFonts w:ascii="Arial" w:hAnsi="Arial" w:cs="Arial"/>
                <w:sz w:val="28"/>
                <w:szCs w:val="28"/>
              </w:rPr>
              <w:t>ANEKS STATISTIKOR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Në ooo/Lekë</w:t>
            </w:r>
          </w:p>
        </w:tc>
      </w:tr>
      <w:tr w:rsidR="00EF524F" w:rsidRPr="00EF524F" w:rsidTr="0025618F">
        <w:trPr>
          <w:trHeight w:val="1230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</w:rPr>
            </w:pPr>
            <w:r w:rsidRPr="00EF524F">
              <w:rPr>
                <w:rFonts w:ascii="Arial" w:hAnsi="Arial" w:cs="Arial"/>
              </w:rPr>
              <w:t> </w:t>
            </w:r>
          </w:p>
        </w:tc>
        <w:tc>
          <w:tcPr>
            <w:tcW w:w="4917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24F" w:rsidRPr="00EF524F" w:rsidRDefault="00EF524F" w:rsidP="00EF524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</w:rPr>
              <w:t>SHPENZIMET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24F" w:rsidRPr="00EF524F" w:rsidRDefault="00EF524F" w:rsidP="00EF524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</w:rPr>
              <w:t>Numri i Llogarise</w:t>
            </w:r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24F" w:rsidRPr="00EF524F" w:rsidRDefault="00EF524F" w:rsidP="00EF524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</w:rPr>
              <w:t>Kodi Statistikor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4F" w:rsidRPr="00EF524F" w:rsidRDefault="0025618F" w:rsidP="00EF52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Viti 2012</w:t>
            </w:r>
          </w:p>
        </w:tc>
        <w:tc>
          <w:tcPr>
            <w:tcW w:w="169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524F" w:rsidRPr="00EF524F" w:rsidRDefault="0025618F" w:rsidP="00EF52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Viti 2011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Blerje, shpenzime (a+/-b+c+/-d+e)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12100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16.909.901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617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49,622,040.0 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 a) 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Blerje/shpenzime materiale dhe materiale të tjera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601+602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12101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C14D45" w:rsidRDefault="0025618F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10.426.799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48,258,911 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 b)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 Ndryshimet e gjëndjeve të Materialeve (+/-)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12102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C14D45" w:rsidRDefault="0025618F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1.608.287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(1,417,843)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 c)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 Mallra të blera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605/1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12103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C14D45" w:rsidRDefault="0025618F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4.874.815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1,808,179 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 d) 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F524F">
              <w:rPr>
                <w:rFonts w:ascii="Arial" w:hAnsi="Arial" w:cs="Arial"/>
                <w:sz w:val="22"/>
                <w:szCs w:val="22"/>
              </w:rPr>
              <w:t>Ndryshimet e gjëndjeve të Mallrave (+/-)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12104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C14D45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 e) 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 Shpenzime per sherbime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605/2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12105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C14D45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972,793 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Shpenzime per personelin (a+b)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12200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3.055.823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4,349,509 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a-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F524F">
              <w:rPr>
                <w:rFonts w:ascii="Arial" w:hAnsi="Arial" w:cs="Arial"/>
                <w:sz w:val="22"/>
                <w:szCs w:val="22"/>
              </w:rPr>
              <w:t>Pagat e personelit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12201</w:t>
            </w:r>
          </w:p>
        </w:tc>
        <w:tc>
          <w:tcPr>
            <w:tcW w:w="1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618F" w:rsidRPr="00C14D45" w:rsidRDefault="0025618F" w:rsidP="00EF524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D45">
              <w:rPr>
                <w:rFonts w:ascii="Arial" w:hAnsi="Arial" w:cs="Arial"/>
                <w:bCs/>
                <w:sz w:val="22"/>
                <w:szCs w:val="22"/>
              </w:rPr>
              <w:t>2.642.843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618F" w:rsidRPr="00EF524F" w:rsidRDefault="0025618F" w:rsidP="0061788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3,837,160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 b-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 Shpenzimet për sig.shoqërore dhe shëndetsore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12202</w:t>
            </w:r>
          </w:p>
        </w:tc>
        <w:tc>
          <w:tcPr>
            <w:tcW w:w="1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618F" w:rsidRPr="00C14D45" w:rsidRDefault="0025618F" w:rsidP="00EF524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D45">
              <w:rPr>
                <w:rFonts w:ascii="Arial" w:hAnsi="Arial" w:cs="Arial"/>
                <w:bCs/>
                <w:sz w:val="22"/>
                <w:szCs w:val="22"/>
              </w:rPr>
              <w:t>412.980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618F" w:rsidRPr="00EF524F" w:rsidRDefault="0025618F" w:rsidP="0061788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512,349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Amortizimet dhe zhvlerësimet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12300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2.396.485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4,402,706 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Shërbime nga të tretë (a+b+c+d+e+f+g+h+i+j+k+l+m)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12400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3.516787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17,958,138 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Sherbimet nga nen-kontraktoret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12401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C14D45" w:rsidRDefault="0025618F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2.484.680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14,300,279 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Trajtime te pergjithshme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12402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C14D45" w:rsidRDefault="0025618F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187,493 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Qera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12403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C14D45" w:rsidRDefault="0025618F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Mirembajtje dhe riparime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12404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C14D45" w:rsidRDefault="0025618F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31.647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Shpenzime për Siguracione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12405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C14D45" w:rsidRDefault="0025618F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301.931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Kerkim studime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12406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C14D45" w:rsidRDefault="0025618F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Sherbime të tjera(Interesa bankare,per kredi)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12407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C14D45" w:rsidRDefault="0025618F" w:rsidP="0025618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124.317           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3,201,339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h)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Shpenzime per koncesione, patenta dhe licensa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12408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lastRenderedPageBreak/>
              <w:t>i)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Shpenzime per publicitet, reklama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12409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5618F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j)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Transferime, udhetime, dieta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12410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18F" w:rsidRPr="00C14D45" w:rsidRDefault="0025618F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="00C14D45"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55.090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618F" w:rsidRPr="00EF524F" w:rsidRDefault="0025618F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k)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Shpenzime postare dhe telekomunikacioni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12411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C14D45" w:rsidRDefault="00C14D45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328.543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135,855 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l)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Shpenzime transporti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12412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C14D45" w:rsidRDefault="00C14D45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-   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F524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per Blerje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6271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124121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C14D45" w:rsidRDefault="00C14D45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F524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per shitje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6272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124122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C14D45" w:rsidRDefault="00C14D45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m)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Shpenzime per sherbime bankare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12413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C14D45" w:rsidRDefault="00C14D45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90.579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133,172 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Tatime dhe taksa (a+b+c+d)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12500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31020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150,220 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Taksa dhe tarifa doganore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12501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Akciza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12502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Taksa dhe tarifa vendore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12503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C14D45" w:rsidRDefault="00C14D45" w:rsidP="00EF52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4D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31.020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30,220 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Taksa dhe tarifa vendore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635+638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12504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30,220 </w:t>
            </w:r>
          </w:p>
        </w:tc>
      </w:tr>
      <w:tr w:rsidR="00C14D45" w:rsidRPr="00EF524F" w:rsidTr="0025618F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C14D45" w:rsidRDefault="00C14D45" w:rsidP="00EF52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D4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D45" w:rsidRPr="00C14D45" w:rsidRDefault="00C14D45" w:rsidP="00EF52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D45">
              <w:rPr>
                <w:rFonts w:ascii="Arial" w:hAnsi="Arial" w:cs="Arial"/>
                <w:b/>
                <w:sz w:val="22"/>
                <w:szCs w:val="22"/>
              </w:rPr>
              <w:t xml:space="preserve">Detyrime te prapambetura dhe gjoba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C14D45" w:rsidRDefault="00C14D45" w:rsidP="00EF52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D45">
              <w:rPr>
                <w:rFonts w:ascii="Arial" w:hAnsi="Arial" w:cs="Arial"/>
                <w:b/>
                <w:sz w:val="22"/>
                <w:szCs w:val="22"/>
              </w:rPr>
              <w:t>657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C14D45" w:rsidRDefault="00C14D45" w:rsidP="00EF5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4D45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C14D45" w:rsidRDefault="00C14D45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2.384.756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120,000 </w:t>
            </w:r>
          </w:p>
        </w:tc>
      </w:tr>
      <w:tr w:rsidR="00C14D45" w:rsidRPr="00EF524F" w:rsidTr="0025618F">
        <w:trPr>
          <w:trHeight w:val="36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II)</w:t>
            </w:r>
          </w:p>
        </w:tc>
        <w:tc>
          <w:tcPr>
            <w:tcW w:w="49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Totali i shpenzimeve II=(1+2+3+4+5)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12600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76,482,613 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Informatë: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Viti 2012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D45" w:rsidRPr="00EF524F" w:rsidRDefault="00C14D45" w:rsidP="00EF52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Viti 2011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Numri mesatar i te punesuarve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14000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7.0 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Investimet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15000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(4,413,666)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    Shtimi i aseteve fikse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15001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4,816,000 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F524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nga te cilat: asete te reja(Mjete transporti)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150011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4,816,000 </w:t>
            </w: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 xml:space="preserve">   Pakesimi i aseteve fikse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15002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617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(9,229,666.0)</w:t>
            </w:r>
          </w:p>
        </w:tc>
      </w:tr>
      <w:tr w:rsidR="00C14D45" w:rsidRPr="00EF524F" w:rsidTr="0025618F">
        <w:trPr>
          <w:trHeight w:val="31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F524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nga te cilat shitja e aseteve ekzistuese(Mj.Tr.)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  <w:r w:rsidRPr="00EF524F">
              <w:rPr>
                <w:rFonts w:ascii="Arial" w:hAnsi="Arial" w:cs="Arial"/>
                <w:sz w:val="22"/>
                <w:szCs w:val="22"/>
              </w:rPr>
              <w:t>150021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C14D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14D45" w:rsidRPr="00EF524F" w:rsidTr="0025618F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Administratori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D45" w:rsidRPr="00EF524F" w:rsidTr="0025618F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4F">
              <w:rPr>
                <w:rFonts w:ascii="Arial" w:hAnsi="Arial" w:cs="Arial"/>
                <w:b/>
                <w:bCs/>
                <w:sz w:val="22"/>
                <w:szCs w:val="22"/>
              </w:rPr>
              <w:t>Agron   BREGU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D45" w:rsidRPr="00EF524F" w:rsidRDefault="00C14D45" w:rsidP="00EF5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F524F" w:rsidRDefault="00EF524F" w:rsidP="00EF524F">
      <w:pPr>
        <w:ind w:left="-1170" w:firstLine="1170"/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DE4289" w:rsidRDefault="00DE4289" w:rsidP="001B6FCD">
      <w:pPr>
        <w:jc w:val="both"/>
        <w:rPr>
          <w:b/>
          <w:sz w:val="22"/>
          <w:szCs w:val="22"/>
          <w:u w:val="single"/>
        </w:rPr>
      </w:pPr>
    </w:p>
    <w:p w:rsidR="00DE4289" w:rsidRDefault="00DE4289" w:rsidP="001B6FCD">
      <w:pPr>
        <w:jc w:val="both"/>
        <w:rPr>
          <w:b/>
          <w:sz w:val="22"/>
          <w:szCs w:val="22"/>
          <w:u w:val="single"/>
        </w:rPr>
      </w:pPr>
    </w:p>
    <w:p w:rsidR="00DE4289" w:rsidRDefault="00DE4289" w:rsidP="001B6FCD">
      <w:pPr>
        <w:jc w:val="both"/>
        <w:rPr>
          <w:b/>
          <w:sz w:val="22"/>
          <w:szCs w:val="22"/>
          <w:u w:val="single"/>
        </w:rPr>
      </w:pPr>
    </w:p>
    <w:p w:rsidR="00DE4289" w:rsidRDefault="00DE4289" w:rsidP="001B6FCD">
      <w:pPr>
        <w:jc w:val="both"/>
        <w:rPr>
          <w:b/>
          <w:sz w:val="22"/>
          <w:szCs w:val="22"/>
          <w:u w:val="single"/>
        </w:rPr>
      </w:pPr>
    </w:p>
    <w:p w:rsidR="00DE4289" w:rsidRDefault="00DE4289" w:rsidP="001B6FCD">
      <w:pPr>
        <w:jc w:val="both"/>
        <w:rPr>
          <w:b/>
          <w:sz w:val="22"/>
          <w:szCs w:val="22"/>
          <w:u w:val="single"/>
        </w:rPr>
      </w:pPr>
    </w:p>
    <w:p w:rsidR="00DE4289" w:rsidRDefault="00DE4289" w:rsidP="001B6FCD">
      <w:pPr>
        <w:jc w:val="both"/>
        <w:rPr>
          <w:b/>
          <w:sz w:val="22"/>
          <w:szCs w:val="22"/>
          <w:u w:val="single"/>
        </w:rPr>
      </w:pPr>
    </w:p>
    <w:p w:rsidR="00DE4289" w:rsidRDefault="00DE4289" w:rsidP="001B6FCD">
      <w:pPr>
        <w:jc w:val="both"/>
        <w:rPr>
          <w:b/>
          <w:sz w:val="22"/>
          <w:szCs w:val="22"/>
          <w:u w:val="single"/>
        </w:rPr>
      </w:pPr>
    </w:p>
    <w:p w:rsidR="00DE4289" w:rsidRDefault="00DE4289" w:rsidP="001B6FCD">
      <w:pPr>
        <w:jc w:val="both"/>
        <w:rPr>
          <w:b/>
          <w:sz w:val="22"/>
          <w:szCs w:val="22"/>
          <w:u w:val="single"/>
        </w:rPr>
      </w:pPr>
    </w:p>
    <w:p w:rsidR="00DE4289" w:rsidRDefault="00DE4289" w:rsidP="001B6FCD">
      <w:pPr>
        <w:jc w:val="both"/>
        <w:rPr>
          <w:b/>
          <w:sz w:val="22"/>
          <w:szCs w:val="22"/>
          <w:u w:val="single"/>
        </w:rPr>
      </w:pPr>
    </w:p>
    <w:p w:rsidR="00DE4289" w:rsidRDefault="00DE4289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tbl>
      <w:tblPr>
        <w:tblW w:w="10400" w:type="dxa"/>
        <w:tblInd w:w="95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1329"/>
        <w:gridCol w:w="999"/>
        <w:gridCol w:w="995"/>
        <w:gridCol w:w="1317"/>
      </w:tblGrid>
      <w:tr w:rsidR="00EF524F" w:rsidRPr="00EF524F" w:rsidTr="00DE4289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SHOQERIA   "ENII" SH P K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4F" w:rsidRPr="00EF524F" w:rsidTr="00DE4289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NIPT _J61826014D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4F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Pasqyre Nr.1</w:t>
            </w:r>
          </w:p>
        </w:tc>
      </w:tr>
      <w:tr w:rsidR="00EF524F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4F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Në000/Lekë</w:t>
            </w:r>
          </w:p>
        </w:tc>
      </w:tr>
      <w:tr w:rsidR="00EF524F" w:rsidRPr="00EF524F" w:rsidTr="00DE4289">
        <w:trPr>
          <w:trHeight w:val="255"/>
        </w:trPr>
        <w:tc>
          <w:tcPr>
            <w:tcW w:w="10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24F" w:rsidRPr="00EF524F" w:rsidRDefault="00EF524F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ANEKS STATISTIKOR  2011</w:t>
            </w:r>
          </w:p>
        </w:tc>
      </w:tr>
      <w:tr w:rsidR="00EF524F" w:rsidRPr="00EF524F" w:rsidTr="00DE4289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524F" w:rsidRPr="00EF524F" w:rsidRDefault="00EF524F" w:rsidP="00EF52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 ARDHURAT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24F" w:rsidRPr="00EF524F" w:rsidRDefault="00EF524F" w:rsidP="00EF52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Numri i Llogarise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24F" w:rsidRPr="00EF524F" w:rsidRDefault="00EF524F" w:rsidP="00EF52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Kodi Statistikor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4F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Viti 2012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4F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Viti 2011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Shitjet gjithsej (a + b +c )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11100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23.362.2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67,873.6 </w:t>
            </w:r>
          </w:p>
        </w:tc>
      </w:tr>
      <w:tr w:rsidR="00DE4289" w:rsidRPr="00EF524F" w:rsidTr="00DE4289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Te ardhura nga shitja e Produktit te vet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701/702/703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11101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5D2069" w:rsidP="00EF5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b)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Te ardhura nga shitja e Shërbimeve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11102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22.368.2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66,708.6 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c)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te ardhura nga shitja e Mallrave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F524F">
              <w:rPr>
                <w:rFonts w:ascii="Arial" w:hAnsi="Arial" w:cs="Arial"/>
                <w:i/>
                <w:iCs/>
                <w:sz w:val="20"/>
                <w:szCs w:val="20"/>
              </w:rPr>
              <w:t>705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11103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1,165.0 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Të ardhura nga shitje të tjera (a+b+c)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708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11104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2516.4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1,892.6 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Qeraja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7081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111041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2516.4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1,892.6 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Komisione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7082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111042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Transport per te tjeret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7083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111043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Ndryshimet në inventarin e produkteve të gatshëm e prodhimeve në proçes :                                 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11201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Shtesat    (+)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112011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Pakesimet (-)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112012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Prodhimi per qellimet e vet ndermarrjes dhe per kapital 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11300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F524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nga i cili: Prodhim i aktiveve afatgjata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11301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Të ardhura nga grantet (Subvencione)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11400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Të tjera(Interesa te fituara)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11500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4.0 </w:t>
            </w:r>
          </w:p>
        </w:tc>
      </w:tr>
      <w:tr w:rsidR="00DE4289" w:rsidRPr="00EF524F" w:rsidTr="00DE428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Të ardhura nga shitja e aktiveve afatgjata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11600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2,393.3 </w:t>
            </w:r>
          </w:p>
        </w:tc>
      </w:tr>
      <w:tr w:rsidR="00DE4289" w:rsidRPr="00EF524F" w:rsidTr="00DE428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I)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Totali i te ardhurave I= (1+2+/-3+4+5+6+7+8)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11800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3B212E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617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72,163.5 </w:t>
            </w: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4289" w:rsidRPr="00EF524F" w:rsidTr="00DE42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4289" w:rsidRPr="00EF524F" w:rsidTr="00DE428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524F">
              <w:rPr>
                <w:rFonts w:ascii="Arial" w:hAnsi="Arial" w:cs="Arial"/>
                <w:b/>
                <w:bCs/>
                <w:sz w:val="28"/>
                <w:szCs w:val="28"/>
              </w:rPr>
              <w:t>Administratori</w:t>
            </w:r>
          </w:p>
        </w:tc>
      </w:tr>
      <w:tr w:rsidR="00DE4289" w:rsidRPr="00EF524F" w:rsidTr="00DE428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289" w:rsidRPr="00EF524F" w:rsidRDefault="00DE4289" w:rsidP="00EF524F">
            <w:pPr>
              <w:rPr>
                <w:rFonts w:ascii="Arial" w:hAnsi="Arial" w:cs="Arial"/>
                <w:sz w:val="28"/>
                <w:szCs w:val="28"/>
              </w:rPr>
            </w:pPr>
            <w:r w:rsidRPr="00EF524F">
              <w:rPr>
                <w:rFonts w:ascii="Arial" w:hAnsi="Arial" w:cs="Arial"/>
                <w:sz w:val="28"/>
                <w:szCs w:val="28"/>
              </w:rPr>
              <w:t>Agron    BREGU</w:t>
            </w:r>
          </w:p>
        </w:tc>
      </w:tr>
    </w:tbl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6C644D" w:rsidRDefault="006C644D" w:rsidP="001B6FCD">
      <w:pPr>
        <w:jc w:val="both"/>
        <w:rPr>
          <w:b/>
          <w:sz w:val="22"/>
          <w:szCs w:val="22"/>
          <w:u w:val="single"/>
        </w:rPr>
      </w:pPr>
    </w:p>
    <w:p w:rsidR="006C644D" w:rsidRDefault="006C644D" w:rsidP="001B6FCD">
      <w:pPr>
        <w:jc w:val="both"/>
        <w:rPr>
          <w:b/>
          <w:sz w:val="22"/>
          <w:szCs w:val="22"/>
          <w:u w:val="single"/>
        </w:rPr>
      </w:pPr>
    </w:p>
    <w:p w:rsidR="006C644D" w:rsidRDefault="006C644D" w:rsidP="001B6FCD">
      <w:pPr>
        <w:jc w:val="both"/>
        <w:rPr>
          <w:b/>
          <w:sz w:val="22"/>
          <w:szCs w:val="22"/>
          <w:u w:val="single"/>
        </w:rPr>
      </w:pPr>
    </w:p>
    <w:p w:rsidR="006C644D" w:rsidRDefault="006C644D" w:rsidP="001B6FCD">
      <w:pPr>
        <w:jc w:val="both"/>
        <w:rPr>
          <w:b/>
          <w:sz w:val="22"/>
          <w:szCs w:val="22"/>
          <w:u w:val="single"/>
        </w:rPr>
      </w:pPr>
    </w:p>
    <w:p w:rsidR="006C644D" w:rsidRDefault="006C644D" w:rsidP="001B6FCD">
      <w:pPr>
        <w:jc w:val="both"/>
        <w:rPr>
          <w:b/>
          <w:sz w:val="22"/>
          <w:szCs w:val="22"/>
          <w:u w:val="single"/>
        </w:rPr>
      </w:pPr>
    </w:p>
    <w:p w:rsidR="006C644D" w:rsidRDefault="006C644D" w:rsidP="001B6FCD">
      <w:pPr>
        <w:jc w:val="both"/>
        <w:rPr>
          <w:b/>
          <w:sz w:val="22"/>
          <w:szCs w:val="22"/>
          <w:u w:val="single"/>
        </w:rPr>
      </w:pPr>
    </w:p>
    <w:p w:rsidR="006C644D" w:rsidRDefault="006C644D" w:rsidP="001B6FCD">
      <w:pPr>
        <w:jc w:val="both"/>
        <w:rPr>
          <w:b/>
          <w:sz w:val="22"/>
          <w:szCs w:val="22"/>
          <w:u w:val="single"/>
        </w:rPr>
      </w:pPr>
    </w:p>
    <w:p w:rsidR="006C644D" w:rsidRDefault="006C644D" w:rsidP="001B6FCD">
      <w:pPr>
        <w:jc w:val="both"/>
        <w:rPr>
          <w:b/>
          <w:sz w:val="22"/>
          <w:szCs w:val="22"/>
          <w:u w:val="single"/>
        </w:rPr>
      </w:pPr>
    </w:p>
    <w:p w:rsidR="006C644D" w:rsidRDefault="006C644D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tbl>
      <w:tblPr>
        <w:tblW w:w="9386" w:type="dxa"/>
        <w:tblInd w:w="95" w:type="dxa"/>
        <w:tblLook w:val="04A0"/>
      </w:tblPr>
      <w:tblGrid>
        <w:gridCol w:w="809"/>
        <w:gridCol w:w="3694"/>
        <w:gridCol w:w="3200"/>
        <w:gridCol w:w="1683"/>
      </w:tblGrid>
      <w:tr w:rsidR="00EF524F" w:rsidRPr="00EF524F" w:rsidTr="00EF524F">
        <w:trPr>
          <w:trHeight w:val="46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SHOQERIA___"ENI" SH P K 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524F" w:rsidRPr="00EF524F" w:rsidTr="00EF524F">
        <w:trPr>
          <w:trHeight w:val="40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F524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NIPTI_J61826014D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524F" w:rsidRPr="00EF524F" w:rsidTr="00EF524F">
        <w:trPr>
          <w:trHeight w:val="33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</w:rPr>
            </w:pPr>
            <w:r w:rsidRPr="00EF524F">
              <w:rPr>
                <w:rFonts w:ascii="Arial" w:hAnsi="Arial" w:cs="Arial"/>
                <w:b/>
                <w:bCs/>
              </w:rPr>
              <w:t>Pasqyre Nr.3</w:t>
            </w:r>
          </w:p>
        </w:tc>
      </w:tr>
      <w:tr w:rsidR="00EF524F" w:rsidRPr="00EF524F" w:rsidTr="00EF524F">
        <w:trPr>
          <w:trHeight w:val="390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  <w:r w:rsidRPr="00EF524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6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  <w:r w:rsidRPr="00EF524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524F">
              <w:rPr>
                <w:rFonts w:ascii="Arial" w:hAnsi="Arial" w:cs="Arial"/>
                <w:b/>
                <w:bCs/>
                <w:sz w:val="28"/>
                <w:szCs w:val="28"/>
              </w:rPr>
              <w:t>Aktiviteti</w:t>
            </w:r>
          </w:p>
        </w:tc>
        <w:tc>
          <w:tcPr>
            <w:tcW w:w="16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</w:rPr>
            </w:pPr>
            <w:r w:rsidRPr="00EF524F">
              <w:rPr>
                <w:rFonts w:ascii="Arial" w:hAnsi="Arial" w:cs="Arial"/>
                <w:b/>
                <w:bCs/>
              </w:rPr>
              <w:t>Te ardhurat nga aktiviteti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Tregti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Tregti karburanti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C644D">
              <w:rPr>
                <w:rFonts w:ascii="Arial" w:hAnsi="Arial" w:cs="Arial"/>
                <w:sz w:val="20"/>
                <w:szCs w:val="20"/>
              </w:rPr>
              <w:t>0</w:t>
            </w: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  <w:r w:rsidR="006C64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Tregti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Tregti ushqimore,pije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  <w:r w:rsidR="006C64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Tregti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Tregti materiale ndertimi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  <w:r w:rsidR="006C64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Tregti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Tregti cigaresh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  <w:r w:rsidR="006C64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Tregti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Tregti artikuj industrial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  <w:r w:rsidR="006C64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Tregti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Farmaci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  <w:r w:rsidR="006C64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Tregti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Eksport mallrash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  <w:r w:rsidR="006C64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F524F" w:rsidRPr="00EF524F" w:rsidTr="00EF524F">
        <w:trPr>
          <w:trHeight w:val="27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Tregti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Tregti te tjera  (Aktive mater)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6C644D" w:rsidP="00EF5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F524F" w:rsidRPr="00EF524F" w:rsidTr="00EF524F">
        <w:trPr>
          <w:trHeight w:val="360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Totali i te ardhurave nga   tregtia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Ndertim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Ndertim banese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6C644D" w:rsidP="00EF5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22.368.198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Ndertim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Ndertim pune publike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7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Ndertim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Ndertime te tjera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435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</w:rPr>
            </w:pPr>
            <w:r w:rsidRPr="00EF524F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</w:rPr>
            </w:pPr>
            <w:r w:rsidRPr="00EF52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</w:rPr>
            </w:pPr>
            <w:r w:rsidRPr="00EF524F">
              <w:rPr>
                <w:rFonts w:ascii="Arial" w:hAnsi="Arial" w:cs="Arial"/>
                <w:b/>
                <w:bCs/>
              </w:rPr>
              <w:t>Totali i te ardhurave nga ndertimi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4F" w:rsidRDefault="00EF524F" w:rsidP="006C644D">
            <w:pPr>
              <w:rPr>
                <w:rFonts w:ascii="Arial" w:hAnsi="Arial" w:cs="Arial"/>
                <w:b/>
                <w:bCs/>
              </w:rPr>
            </w:pPr>
            <w:r w:rsidRPr="00EF524F">
              <w:rPr>
                <w:rFonts w:ascii="Arial" w:hAnsi="Arial" w:cs="Arial"/>
                <w:b/>
                <w:bCs/>
              </w:rPr>
              <w:t xml:space="preserve">        </w:t>
            </w:r>
            <w:r w:rsidR="006C644D">
              <w:rPr>
                <w:rFonts w:ascii="Arial" w:hAnsi="Arial" w:cs="Arial"/>
                <w:b/>
                <w:bCs/>
              </w:rPr>
              <w:t>22.368.198</w:t>
            </w:r>
          </w:p>
          <w:p w:rsidR="006C644D" w:rsidRPr="00EF524F" w:rsidRDefault="006C644D" w:rsidP="006C64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Prodhim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Eksport, prodhime te ndryshme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Prodhim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Fason te cdo lloji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Prodhim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Prodhim materiale ndertimi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Prodhim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Prodhim ushqimore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Prodhim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Prodhim pije alkolike, etj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Prodhim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Prodhime energji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Prodhim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Prodhim hidrokarbure,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4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Prodhim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Prodhime te tjera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70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Totali i te ardhurave nga prodhimi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Transport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Transport mallrash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Transport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Transport malli nderkombetare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Transport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Transport udhetaresh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7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Transport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Transport udhetaresh nderkombetare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330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Totali i te ardhurave nga transporti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Sherbimi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Sherbime financiare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Sherbimi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Siguracione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Sherbimi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Sherbime mjekesore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Sherbimi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Bar restorante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4D" w:rsidRDefault="00EF524F" w:rsidP="006C644D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C644D">
              <w:rPr>
                <w:rFonts w:ascii="Arial" w:hAnsi="Arial" w:cs="Arial"/>
                <w:sz w:val="20"/>
                <w:szCs w:val="20"/>
              </w:rPr>
              <w:t>2.516.400</w:t>
            </w:r>
          </w:p>
          <w:p w:rsidR="00EF524F" w:rsidRPr="00EF524F" w:rsidRDefault="00EF524F" w:rsidP="006C644D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Sherbimi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Hoteleri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6C644D" w:rsidP="00EF5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                        </w:t>
            </w:r>
            <w:r w:rsidR="00EF524F" w:rsidRPr="00EF52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Sherbimi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Lojra Fati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6C644D" w:rsidP="00EF5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0</w:t>
            </w:r>
            <w:r w:rsidR="00EF524F" w:rsidRPr="00EF52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Sherbimi 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Veprimtari televizive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644D">
              <w:rPr>
                <w:rFonts w:ascii="Arial" w:hAnsi="Arial" w:cs="Arial"/>
                <w:sz w:val="20"/>
                <w:szCs w:val="20"/>
              </w:rPr>
              <w:t xml:space="preserve">0                      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Sherbimi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Telekomunikacion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Sherbimi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Eksport sherbimish te ndryshme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Sherbimi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Profesione te lira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 xml:space="preserve">                         -   </w:t>
            </w:r>
          </w:p>
        </w:tc>
      </w:tr>
      <w:tr w:rsidR="00EF524F" w:rsidRPr="00EF524F" w:rsidTr="00EF524F">
        <w:trPr>
          <w:trHeight w:val="27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Sherbimi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Sherbime te tjera(Dhenje obj me qera)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4F" w:rsidRPr="00EF524F" w:rsidTr="00EF524F">
        <w:trPr>
          <w:trHeight w:val="330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Totali i te ardhurave nga sherbimet</w:t>
            </w:r>
          </w:p>
        </w:tc>
        <w:tc>
          <w:tcPr>
            <w:tcW w:w="16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6C644D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22368198</w:t>
            </w:r>
          </w:p>
        </w:tc>
      </w:tr>
      <w:tr w:rsidR="00EF524F" w:rsidRPr="00EF524F" w:rsidTr="00EF524F">
        <w:trPr>
          <w:trHeight w:val="390"/>
        </w:trPr>
        <w:tc>
          <w:tcPr>
            <w:tcW w:w="8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TOALI (I+II+III+IV+V)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6C644D" w:rsidP="00EF52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24.884.598</w:t>
            </w:r>
          </w:p>
        </w:tc>
      </w:tr>
      <w:tr w:rsidR="00EF524F" w:rsidRPr="00EF524F" w:rsidTr="00EF524F">
        <w:trPr>
          <w:trHeight w:val="28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4F" w:rsidRPr="00EF524F" w:rsidTr="00EF524F">
        <w:trPr>
          <w:trHeight w:val="285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Te punesuar mesatarisht per vitin 2011:</w:t>
            </w:r>
          </w:p>
        </w:tc>
        <w:tc>
          <w:tcPr>
            <w:tcW w:w="32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Nr. I te punesuarve</w:t>
            </w:r>
          </w:p>
        </w:tc>
      </w:tr>
      <w:tr w:rsidR="00EF524F" w:rsidRPr="00EF524F" w:rsidTr="00EF524F">
        <w:trPr>
          <w:trHeight w:val="27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524F" w:rsidRPr="00EF524F" w:rsidTr="00EF524F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</w:rPr>
            </w:pPr>
            <w:r w:rsidRPr="00EF524F">
              <w:rPr>
                <w:rFonts w:ascii="Arial" w:hAnsi="Arial" w:cs="Arial"/>
              </w:rPr>
              <w:t>Me page deri ne 20.000 leke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</w:rPr>
            </w:pPr>
            <w:r w:rsidRPr="00EF524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6C644D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F524F" w:rsidRPr="00EF524F" w:rsidTr="00EF524F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</w:rPr>
            </w:pPr>
            <w:r w:rsidRPr="00EF524F">
              <w:rPr>
                <w:rFonts w:ascii="Arial" w:hAnsi="Arial" w:cs="Arial"/>
              </w:rPr>
              <w:t>Me page nga 20.001 deri ne 30.000 leke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</w:rPr>
            </w:pPr>
            <w:r w:rsidRPr="00EF524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6C644D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F524F" w:rsidRPr="00EF524F" w:rsidTr="00EF524F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</w:rPr>
            </w:pPr>
            <w:r w:rsidRPr="00EF524F">
              <w:rPr>
                <w:rFonts w:ascii="Arial" w:hAnsi="Arial" w:cs="Arial"/>
              </w:rPr>
              <w:t>Me page nga 30.001 deri  ne 66.500 leke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</w:rPr>
            </w:pPr>
            <w:r w:rsidRPr="00EF524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6C644D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524F" w:rsidRPr="00EF524F" w:rsidTr="00EF524F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</w:rPr>
            </w:pPr>
            <w:r w:rsidRPr="00EF524F">
              <w:rPr>
                <w:rFonts w:ascii="Arial" w:hAnsi="Arial" w:cs="Arial"/>
              </w:rPr>
              <w:t>Me page nga 66.501 deri ne 87.700 leke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</w:rPr>
            </w:pPr>
            <w:r w:rsidRPr="00EF524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52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F524F" w:rsidRPr="00EF524F" w:rsidTr="00EF524F">
        <w:trPr>
          <w:trHeight w:val="31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</w:rPr>
            </w:pPr>
            <w:r w:rsidRPr="00EF524F">
              <w:rPr>
                <w:rFonts w:ascii="Arial" w:hAnsi="Arial" w:cs="Arial"/>
              </w:rPr>
              <w:t>Me page me te larte se 87.700 leke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</w:rPr>
            </w:pPr>
            <w:r w:rsidRPr="00EF524F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Default="006C644D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6C644D" w:rsidRPr="00EF524F" w:rsidRDefault="006C644D" w:rsidP="00EF52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4F" w:rsidRPr="00EF524F" w:rsidTr="00EF524F">
        <w:trPr>
          <w:trHeight w:val="27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Totali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>Administratori</w:t>
            </w:r>
          </w:p>
        </w:tc>
      </w:tr>
      <w:tr w:rsidR="00EF524F" w:rsidRPr="00EF524F" w:rsidTr="00EF524F">
        <w:trPr>
          <w:trHeight w:val="36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8"/>
                <w:szCs w:val="28"/>
              </w:rPr>
            </w:pPr>
            <w:r w:rsidRPr="00EF524F">
              <w:rPr>
                <w:rFonts w:ascii="Arial" w:hAnsi="Arial" w:cs="Arial"/>
                <w:sz w:val="28"/>
                <w:szCs w:val="28"/>
              </w:rPr>
              <w:t>Agron   BREGU</w:t>
            </w: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Shenim: </w:t>
            </w:r>
            <w:r w:rsidRPr="00EF524F">
              <w:rPr>
                <w:rFonts w:ascii="Arial" w:hAnsi="Arial" w:cs="Arial"/>
                <w:sz w:val="20"/>
                <w:szCs w:val="20"/>
              </w:rPr>
              <w:t>Kjo pasqyre plotesohet edhe on-line.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4F" w:rsidRPr="00EF524F" w:rsidTr="00EF524F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4F" w:rsidRPr="00EF524F" w:rsidRDefault="00EF524F" w:rsidP="00EF5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Default="00EF524F" w:rsidP="001B6FCD">
      <w:pPr>
        <w:jc w:val="both"/>
        <w:rPr>
          <w:b/>
          <w:sz w:val="22"/>
          <w:szCs w:val="22"/>
          <w:u w:val="single"/>
        </w:rPr>
      </w:pPr>
    </w:p>
    <w:p w:rsidR="00EF524F" w:rsidRPr="00EB2DD9" w:rsidRDefault="00EF524F" w:rsidP="001B6FCD">
      <w:pPr>
        <w:jc w:val="both"/>
        <w:rPr>
          <w:b/>
          <w:sz w:val="22"/>
          <w:szCs w:val="22"/>
          <w:u w:val="single"/>
        </w:rPr>
      </w:pPr>
    </w:p>
    <w:sectPr w:rsidR="00EF524F" w:rsidRPr="00EB2DD9" w:rsidSect="00EF524F">
      <w:headerReference w:type="default" r:id="rId38"/>
      <w:footerReference w:type="even" r:id="rId39"/>
      <w:footerReference w:type="default" r:id="rId40"/>
      <w:pgSz w:w="11907" w:h="16840" w:code="9"/>
      <w:pgMar w:top="1440" w:right="1440" w:bottom="1440" w:left="27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5FB" w:rsidRPr="00E04382" w:rsidRDefault="00A665FB">
      <w:pPr>
        <w:rPr>
          <w:sz w:val="20"/>
          <w:szCs w:val="20"/>
        </w:rPr>
      </w:pPr>
      <w:r w:rsidRPr="00E04382">
        <w:rPr>
          <w:sz w:val="20"/>
          <w:szCs w:val="20"/>
        </w:rPr>
        <w:separator/>
      </w:r>
    </w:p>
  </w:endnote>
  <w:endnote w:type="continuationSeparator" w:id="1">
    <w:p w:rsidR="00A665FB" w:rsidRPr="00E04382" w:rsidRDefault="00A665FB">
      <w:pPr>
        <w:rPr>
          <w:sz w:val="20"/>
          <w:szCs w:val="20"/>
        </w:rPr>
      </w:pPr>
      <w:r w:rsidRPr="00E04382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(Western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34" w:rsidRPr="00E04382" w:rsidRDefault="00C01934" w:rsidP="000A1B01">
    <w:pPr>
      <w:pStyle w:val="Footer"/>
      <w:framePr w:wrap="around" w:vAnchor="text" w:hAnchor="margin" w:xAlign="right" w:y="1"/>
      <w:rPr>
        <w:rStyle w:val="PageNumber"/>
        <w:sz w:val="17"/>
        <w:szCs w:val="17"/>
      </w:rPr>
    </w:pPr>
    <w:r w:rsidRPr="00E04382">
      <w:rPr>
        <w:rStyle w:val="PageNumber"/>
        <w:sz w:val="17"/>
        <w:szCs w:val="17"/>
      </w:rPr>
      <w:fldChar w:fldCharType="begin"/>
    </w:r>
    <w:r w:rsidRPr="00E04382">
      <w:rPr>
        <w:rStyle w:val="PageNumber"/>
        <w:sz w:val="17"/>
        <w:szCs w:val="17"/>
      </w:rPr>
      <w:instrText xml:space="preserve">PAGE  </w:instrText>
    </w:r>
    <w:r w:rsidRPr="00E04382">
      <w:rPr>
        <w:rStyle w:val="PageNumber"/>
        <w:sz w:val="17"/>
        <w:szCs w:val="17"/>
      </w:rPr>
      <w:fldChar w:fldCharType="separate"/>
    </w:r>
    <w:r w:rsidRPr="00E04382">
      <w:rPr>
        <w:rStyle w:val="PageNumber"/>
        <w:noProof/>
        <w:sz w:val="17"/>
        <w:szCs w:val="17"/>
      </w:rPr>
      <w:t>1</w:t>
    </w:r>
    <w:r w:rsidRPr="00E04382">
      <w:rPr>
        <w:rStyle w:val="PageNumber"/>
        <w:sz w:val="17"/>
        <w:szCs w:val="17"/>
      </w:rPr>
      <w:fldChar w:fldCharType="end"/>
    </w:r>
  </w:p>
  <w:p w:rsidR="00C01934" w:rsidRPr="00E04382" w:rsidRDefault="00C01934">
    <w:pPr>
      <w:pStyle w:val="Footer"/>
      <w:ind w:right="360" w:firstLine="360"/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23" w:rsidRDefault="00C56823">
    <w:pPr>
      <w:pStyle w:val="Footer"/>
      <w:jc w:val="right"/>
    </w:pPr>
    <w:fldSimple w:instr=" PAGE   \* MERGEFORMAT ">
      <w:r w:rsidR="00AA4B7E">
        <w:rPr>
          <w:noProof/>
        </w:rPr>
        <w:t>26</w:t>
      </w:r>
    </w:fldSimple>
  </w:p>
  <w:p w:rsidR="00C56823" w:rsidRPr="000A1B01" w:rsidRDefault="00C56823" w:rsidP="00C56823">
    <w:pPr>
      <w:pStyle w:val="Footer"/>
      <w:pBdr>
        <w:top w:val="single" w:sz="4" w:space="1" w:color="17365D"/>
      </w:pBdr>
      <w:ind w:right="360"/>
      <w:rPr>
        <w:rFonts w:ascii="Helvetica" w:hAnsi="Helvetica"/>
        <w:b/>
        <w:color w:val="548DD4"/>
        <w:lang w:val="pt-BR"/>
      </w:rPr>
    </w:pPr>
    <w:r w:rsidRPr="000A1B01">
      <w:rPr>
        <w:rFonts w:ascii="Helvetica" w:hAnsi="Helvetica"/>
        <w:b/>
        <w:color w:val="548DD4"/>
        <w:lang w:val="pt-BR"/>
      </w:rPr>
      <w:t>Shenimet shoqeruese 1 deri ne 1</w:t>
    </w:r>
    <w:r>
      <w:rPr>
        <w:rFonts w:ascii="Helvetica" w:hAnsi="Helvetica"/>
        <w:b/>
        <w:color w:val="548DD4"/>
        <w:lang w:val="pt-BR"/>
      </w:rPr>
      <w:t>5</w:t>
    </w:r>
    <w:r w:rsidRPr="000A1B01">
      <w:rPr>
        <w:rFonts w:ascii="Helvetica" w:hAnsi="Helvetica"/>
        <w:b/>
        <w:color w:val="548DD4"/>
        <w:lang w:val="pt-BR"/>
      </w:rPr>
      <w:t xml:space="preserve"> jane pjese perberse e ketyre pasqyrave financiare       </w:t>
    </w:r>
  </w:p>
  <w:p w:rsidR="00C56823" w:rsidRPr="00D172D0" w:rsidRDefault="00C56823" w:rsidP="00C56823">
    <w:pPr>
      <w:pStyle w:val="Footer"/>
      <w:pBdr>
        <w:top w:val="single" w:sz="4" w:space="1" w:color="17365D"/>
      </w:pBdr>
      <w:rPr>
        <w:color w:val="548DD4"/>
      </w:rPr>
    </w:pPr>
    <w:r w:rsidRPr="000A1B01">
      <w:rPr>
        <w:rFonts w:ascii="Helvetica" w:hAnsi="Helvetica"/>
        <w:b/>
        <w:color w:val="548DD4"/>
        <w:sz w:val="16"/>
        <w:szCs w:val="16"/>
        <w:lang w:val="pt-BR"/>
      </w:rPr>
      <w:t xml:space="preserve">                                   </w:t>
    </w:r>
    <w:r w:rsidRPr="00D172D0">
      <w:rPr>
        <w:rFonts w:ascii="Helvetica" w:hAnsi="Helvetica"/>
        <w:b/>
        <w:color w:val="548DD4"/>
        <w:sz w:val="24"/>
        <w:szCs w:val="24"/>
        <w:lang w:val="pt-BR"/>
      </w:rPr>
      <w:t xml:space="preserve">                                       </w:t>
    </w:r>
    <w:r w:rsidRPr="00D172D0">
      <w:rPr>
        <w:rFonts w:ascii="Helvetica" w:hAnsi="Helvetica"/>
        <w:color w:val="548DD4"/>
      </w:rPr>
      <w:t xml:space="preserve">  </w:t>
    </w:r>
  </w:p>
  <w:p w:rsidR="00C56823" w:rsidRDefault="00C568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5FB" w:rsidRPr="00E04382" w:rsidRDefault="00A665FB">
      <w:pPr>
        <w:rPr>
          <w:sz w:val="20"/>
          <w:szCs w:val="20"/>
        </w:rPr>
      </w:pPr>
      <w:r w:rsidRPr="00E04382">
        <w:rPr>
          <w:sz w:val="20"/>
          <w:szCs w:val="20"/>
        </w:rPr>
        <w:separator/>
      </w:r>
    </w:p>
  </w:footnote>
  <w:footnote w:type="continuationSeparator" w:id="1">
    <w:p w:rsidR="00A665FB" w:rsidRPr="00E04382" w:rsidRDefault="00A665FB">
      <w:pPr>
        <w:rPr>
          <w:sz w:val="20"/>
          <w:szCs w:val="20"/>
        </w:rPr>
      </w:pPr>
      <w:r w:rsidRPr="00E04382"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23" w:rsidRPr="00CF53E2" w:rsidRDefault="00C56823" w:rsidP="00C56823">
    <w:pPr>
      <w:pStyle w:val="Header"/>
      <w:jc w:val="right"/>
      <w:rPr>
        <w:rFonts w:ascii="Century Gothic" w:hAnsi="Century Gothic"/>
        <w:b/>
        <w:snapToGrid w:val="0"/>
        <w:color w:val="4F6228"/>
        <w:sz w:val="28"/>
        <w:szCs w:val="28"/>
        <w:lang w:val="pt-BR"/>
      </w:rPr>
    </w:pPr>
    <w:r w:rsidRPr="00CF53E2">
      <w:rPr>
        <w:rFonts w:ascii="Helvetica" w:hAnsi="Helvetica"/>
        <w:b/>
        <w:snapToGrid w:val="0"/>
        <w:color w:val="4F6228"/>
        <w:sz w:val="32"/>
        <w:szCs w:val="32"/>
        <w:lang w:val="pt-BR"/>
      </w:rPr>
      <w:t>Pasqyrat Financiare</w:t>
    </w:r>
    <w:r w:rsidRPr="00CF53E2">
      <w:rPr>
        <w:rFonts w:ascii="Helvetica" w:hAnsi="Helvetica"/>
        <w:b/>
        <w:snapToGrid w:val="0"/>
        <w:color w:val="4F6228"/>
        <w:sz w:val="28"/>
        <w:szCs w:val="28"/>
        <w:lang w:val="pt-BR"/>
      </w:rPr>
      <w:t xml:space="preserve"> </w:t>
    </w:r>
    <w:r w:rsidR="0097049E">
      <w:rPr>
        <w:rFonts w:ascii="Helvetica" w:hAnsi="Helvetica"/>
        <w:b/>
        <w:snapToGrid w:val="0"/>
        <w:color w:val="0F243E"/>
        <w:sz w:val="32"/>
        <w:szCs w:val="32"/>
        <w:lang w:val="pt-BR"/>
      </w:rPr>
      <w:t>201</w:t>
    </w:r>
    <w:r w:rsidR="00202E91">
      <w:rPr>
        <w:rFonts w:ascii="Helvetica" w:hAnsi="Helvetica"/>
        <w:b/>
        <w:snapToGrid w:val="0"/>
        <w:color w:val="0F243E"/>
        <w:sz w:val="32"/>
        <w:szCs w:val="32"/>
        <w:lang w:val="pt-BR"/>
      </w:rPr>
      <w:t>2</w:t>
    </w:r>
  </w:p>
  <w:p w:rsidR="00C56823" w:rsidRDefault="00C568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BD5"/>
    <w:multiLevelType w:val="hybridMultilevel"/>
    <w:tmpl w:val="C98EC0BE"/>
    <w:lvl w:ilvl="0" w:tplc="854EA1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752260A"/>
    <w:multiLevelType w:val="hybridMultilevel"/>
    <w:tmpl w:val="1EEEFAF0"/>
    <w:lvl w:ilvl="0" w:tplc="6A6657E6">
      <w:start w:val="1"/>
      <w:numFmt w:val="upperLetter"/>
      <w:pStyle w:val="TOC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3045"/>
    <w:multiLevelType w:val="hybridMultilevel"/>
    <w:tmpl w:val="AC5018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7A682F"/>
    <w:multiLevelType w:val="hybridMultilevel"/>
    <w:tmpl w:val="2160A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D27666"/>
    <w:multiLevelType w:val="hybridMultilevel"/>
    <w:tmpl w:val="0A7C7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1F5210"/>
    <w:multiLevelType w:val="singleLevel"/>
    <w:tmpl w:val="DC58B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62E41D03"/>
    <w:multiLevelType w:val="hybridMultilevel"/>
    <w:tmpl w:val="6C14D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4F6D8F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9C28C5"/>
    <w:multiLevelType w:val="hybridMultilevel"/>
    <w:tmpl w:val="CC36D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  <w:lvlOverride w:ilvl="0">
      <w:startOverride w:val="5"/>
    </w:lvlOverride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4">
      <o:colormru v:ext="edit" colors="#4d4d4d,#333,#292929,#111,#080808"/>
    </o:shapedefaults>
  </w:hdrShapeDefaults>
  <w:footnotePr>
    <w:footnote w:id="0"/>
    <w:footnote w:id="1"/>
  </w:footnotePr>
  <w:endnotePr>
    <w:endnote w:id="0"/>
    <w:endnote w:id="1"/>
  </w:endnotePr>
  <w:compat/>
  <w:rsids>
    <w:rsidRoot w:val="00DC580C"/>
    <w:rsid w:val="00001329"/>
    <w:rsid w:val="00002D5B"/>
    <w:rsid w:val="0000365F"/>
    <w:rsid w:val="00004306"/>
    <w:rsid w:val="000053BF"/>
    <w:rsid w:val="00005604"/>
    <w:rsid w:val="0000724B"/>
    <w:rsid w:val="00007FBC"/>
    <w:rsid w:val="0001174E"/>
    <w:rsid w:val="00012721"/>
    <w:rsid w:val="00012D03"/>
    <w:rsid w:val="00013DA7"/>
    <w:rsid w:val="0001509C"/>
    <w:rsid w:val="0001665A"/>
    <w:rsid w:val="00016F43"/>
    <w:rsid w:val="00020D5F"/>
    <w:rsid w:val="00021322"/>
    <w:rsid w:val="0002177A"/>
    <w:rsid w:val="00021CAB"/>
    <w:rsid w:val="00021EC6"/>
    <w:rsid w:val="00022A11"/>
    <w:rsid w:val="00024D68"/>
    <w:rsid w:val="00025FCC"/>
    <w:rsid w:val="00026079"/>
    <w:rsid w:val="000260D9"/>
    <w:rsid w:val="000265A0"/>
    <w:rsid w:val="000267EB"/>
    <w:rsid w:val="00027086"/>
    <w:rsid w:val="00027660"/>
    <w:rsid w:val="000303FF"/>
    <w:rsid w:val="00034B4B"/>
    <w:rsid w:val="00034F02"/>
    <w:rsid w:val="00037FA7"/>
    <w:rsid w:val="00041B5F"/>
    <w:rsid w:val="00041E61"/>
    <w:rsid w:val="00041EAA"/>
    <w:rsid w:val="000473FD"/>
    <w:rsid w:val="000509CF"/>
    <w:rsid w:val="00051669"/>
    <w:rsid w:val="000528B7"/>
    <w:rsid w:val="00052A10"/>
    <w:rsid w:val="00054304"/>
    <w:rsid w:val="0005498D"/>
    <w:rsid w:val="00060ED0"/>
    <w:rsid w:val="0006213E"/>
    <w:rsid w:val="0006283E"/>
    <w:rsid w:val="00062968"/>
    <w:rsid w:val="00063536"/>
    <w:rsid w:val="0006356D"/>
    <w:rsid w:val="00066647"/>
    <w:rsid w:val="00066779"/>
    <w:rsid w:val="0006681A"/>
    <w:rsid w:val="0006793E"/>
    <w:rsid w:val="00067FE8"/>
    <w:rsid w:val="00070B39"/>
    <w:rsid w:val="00071A13"/>
    <w:rsid w:val="00075247"/>
    <w:rsid w:val="000758DC"/>
    <w:rsid w:val="000763E2"/>
    <w:rsid w:val="00080435"/>
    <w:rsid w:val="000820A4"/>
    <w:rsid w:val="000835B3"/>
    <w:rsid w:val="0008438F"/>
    <w:rsid w:val="00084A61"/>
    <w:rsid w:val="00090E12"/>
    <w:rsid w:val="00091101"/>
    <w:rsid w:val="000923B0"/>
    <w:rsid w:val="000930A3"/>
    <w:rsid w:val="00093408"/>
    <w:rsid w:val="00095CA8"/>
    <w:rsid w:val="00095FE8"/>
    <w:rsid w:val="00096AB6"/>
    <w:rsid w:val="00097A79"/>
    <w:rsid w:val="000A1862"/>
    <w:rsid w:val="000A1B01"/>
    <w:rsid w:val="000A25B2"/>
    <w:rsid w:val="000A473C"/>
    <w:rsid w:val="000A575F"/>
    <w:rsid w:val="000A71D6"/>
    <w:rsid w:val="000B0434"/>
    <w:rsid w:val="000B0AE7"/>
    <w:rsid w:val="000B2331"/>
    <w:rsid w:val="000B2882"/>
    <w:rsid w:val="000B34B5"/>
    <w:rsid w:val="000B492D"/>
    <w:rsid w:val="000B5147"/>
    <w:rsid w:val="000B6028"/>
    <w:rsid w:val="000B61EB"/>
    <w:rsid w:val="000B6C71"/>
    <w:rsid w:val="000C2316"/>
    <w:rsid w:val="000C29DC"/>
    <w:rsid w:val="000C3F57"/>
    <w:rsid w:val="000C4DC4"/>
    <w:rsid w:val="000C5066"/>
    <w:rsid w:val="000C58A8"/>
    <w:rsid w:val="000D066E"/>
    <w:rsid w:val="000D06FE"/>
    <w:rsid w:val="000D0C86"/>
    <w:rsid w:val="000D333C"/>
    <w:rsid w:val="000D55E8"/>
    <w:rsid w:val="000E4069"/>
    <w:rsid w:val="000E512E"/>
    <w:rsid w:val="000E5B49"/>
    <w:rsid w:val="000E7A16"/>
    <w:rsid w:val="000F04BB"/>
    <w:rsid w:val="000F2342"/>
    <w:rsid w:val="000F2CF2"/>
    <w:rsid w:val="000F33F1"/>
    <w:rsid w:val="001004E8"/>
    <w:rsid w:val="00100B13"/>
    <w:rsid w:val="001015E5"/>
    <w:rsid w:val="00101B0E"/>
    <w:rsid w:val="00103BD9"/>
    <w:rsid w:val="001072E4"/>
    <w:rsid w:val="00107386"/>
    <w:rsid w:val="00111CB2"/>
    <w:rsid w:val="00112397"/>
    <w:rsid w:val="00113F5B"/>
    <w:rsid w:val="001150CF"/>
    <w:rsid w:val="00115A70"/>
    <w:rsid w:val="0011758B"/>
    <w:rsid w:val="00117C40"/>
    <w:rsid w:val="00120A77"/>
    <w:rsid w:val="00120AA9"/>
    <w:rsid w:val="0012242E"/>
    <w:rsid w:val="00122EA6"/>
    <w:rsid w:val="00122F08"/>
    <w:rsid w:val="00123363"/>
    <w:rsid w:val="00123E77"/>
    <w:rsid w:val="00125B56"/>
    <w:rsid w:val="00125D97"/>
    <w:rsid w:val="00125E11"/>
    <w:rsid w:val="001265DD"/>
    <w:rsid w:val="0012782A"/>
    <w:rsid w:val="00131AB8"/>
    <w:rsid w:val="001329C4"/>
    <w:rsid w:val="0013455A"/>
    <w:rsid w:val="00135440"/>
    <w:rsid w:val="00135497"/>
    <w:rsid w:val="0013673F"/>
    <w:rsid w:val="00136C54"/>
    <w:rsid w:val="00137023"/>
    <w:rsid w:val="001422EE"/>
    <w:rsid w:val="0014248A"/>
    <w:rsid w:val="00143F5F"/>
    <w:rsid w:val="00145DB6"/>
    <w:rsid w:val="00147463"/>
    <w:rsid w:val="001477AB"/>
    <w:rsid w:val="00147AF1"/>
    <w:rsid w:val="001505C6"/>
    <w:rsid w:val="00151548"/>
    <w:rsid w:val="0015345C"/>
    <w:rsid w:val="00153AD0"/>
    <w:rsid w:val="00154735"/>
    <w:rsid w:val="00155771"/>
    <w:rsid w:val="00156205"/>
    <w:rsid w:val="001634EB"/>
    <w:rsid w:val="0016355C"/>
    <w:rsid w:val="00165D52"/>
    <w:rsid w:val="001661F9"/>
    <w:rsid w:val="0016665D"/>
    <w:rsid w:val="00166BB7"/>
    <w:rsid w:val="00167FA3"/>
    <w:rsid w:val="001709D7"/>
    <w:rsid w:val="00170C6D"/>
    <w:rsid w:val="0017111F"/>
    <w:rsid w:val="0017147E"/>
    <w:rsid w:val="00171985"/>
    <w:rsid w:val="00172C51"/>
    <w:rsid w:val="00174B72"/>
    <w:rsid w:val="0017544B"/>
    <w:rsid w:val="00175BA1"/>
    <w:rsid w:val="001841F7"/>
    <w:rsid w:val="00185734"/>
    <w:rsid w:val="00187C2F"/>
    <w:rsid w:val="001901D2"/>
    <w:rsid w:val="00190D07"/>
    <w:rsid w:val="00191AEC"/>
    <w:rsid w:val="00193595"/>
    <w:rsid w:val="001A1D98"/>
    <w:rsid w:val="001A39A7"/>
    <w:rsid w:val="001A53CE"/>
    <w:rsid w:val="001A54D4"/>
    <w:rsid w:val="001A677F"/>
    <w:rsid w:val="001A6C08"/>
    <w:rsid w:val="001A7113"/>
    <w:rsid w:val="001A7CF7"/>
    <w:rsid w:val="001B06B2"/>
    <w:rsid w:val="001B0BB2"/>
    <w:rsid w:val="001B0F81"/>
    <w:rsid w:val="001B1E9C"/>
    <w:rsid w:val="001B24B2"/>
    <w:rsid w:val="001B3936"/>
    <w:rsid w:val="001B6A23"/>
    <w:rsid w:val="001B6FCD"/>
    <w:rsid w:val="001C227C"/>
    <w:rsid w:val="001C3F6F"/>
    <w:rsid w:val="001C41F5"/>
    <w:rsid w:val="001C60CA"/>
    <w:rsid w:val="001C7A86"/>
    <w:rsid w:val="001C7EC2"/>
    <w:rsid w:val="001D125F"/>
    <w:rsid w:val="001D5AE6"/>
    <w:rsid w:val="001D6583"/>
    <w:rsid w:val="001D7444"/>
    <w:rsid w:val="001D775F"/>
    <w:rsid w:val="001E0BCE"/>
    <w:rsid w:val="001E140E"/>
    <w:rsid w:val="001E1430"/>
    <w:rsid w:val="001E1D2C"/>
    <w:rsid w:val="001E2A7B"/>
    <w:rsid w:val="001E4018"/>
    <w:rsid w:val="001E4F0E"/>
    <w:rsid w:val="001E5731"/>
    <w:rsid w:val="001E79F2"/>
    <w:rsid w:val="001F1662"/>
    <w:rsid w:val="001F1A95"/>
    <w:rsid w:val="001F21AC"/>
    <w:rsid w:val="001F2CF0"/>
    <w:rsid w:val="001F584B"/>
    <w:rsid w:val="001F5A60"/>
    <w:rsid w:val="001F5E2F"/>
    <w:rsid w:val="001F68AC"/>
    <w:rsid w:val="001F6C7A"/>
    <w:rsid w:val="001F78DD"/>
    <w:rsid w:val="00202E91"/>
    <w:rsid w:val="00205D39"/>
    <w:rsid w:val="002069D8"/>
    <w:rsid w:val="00210E1B"/>
    <w:rsid w:val="002112CE"/>
    <w:rsid w:val="00211B46"/>
    <w:rsid w:val="00212A7D"/>
    <w:rsid w:val="00212B7F"/>
    <w:rsid w:val="00212E6F"/>
    <w:rsid w:val="002150CF"/>
    <w:rsid w:val="0022074C"/>
    <w:rsid w:val="0022134D"/>
    <w:rsid w:val="0022230E"/>
    <w:rsid w:val="002229A1"/>
    <w:rsid w:val="002252DE"/>
    <w:rsid w:val="0022633E"/>
    <w:rsid w:val="00226922"/>
    <w:rsid w:val="00226DCB"/>
    <w:rsid w:val="0023125C"/>
    <w:rsid w:val="002328EA"/>
    <w:rsid w:val="00233F3E"/>
    <w:rsid w:val="00236A43"/>
    <w:rsid w:val="0023712E"/>
    <w:rsid w:val="00237D52"/>
    <w:rsid w:val="00240183"/>
    <w:rsid w:val="00240A52"/>
    <w:rsid w:val="00241701"/>
    <w:rsid w:val="0024180C"/>
    <w:rsid w:val="00241CE3"/>
    <w:rsid w:val="002457DE"/>
    <w:rsid w:val="00246512"/>
    <w:rsid w:val="00246C79"/>
    <w:rsid w:val="00250872"/>
    <w:rsid w:val="00251DFF"/>
    <w:rsid w:val="00252A54"/>
    <w:rsid w:val="00254ABE"/>
    <w:rsid w:val="00255138"/>
    <w:rsid w:val="0025618F"/>
    <w:rsid w:val="00257E0B"/>
    <w:rsid w:val="0026120A"/>
    <w:rsid w:val="00261C05"/>
    <w:rsid w:val="00261E4A"/>
    <w:rsid w:val="00265AE8"/>
    <w:rsid w:val="00270066"/>
    <w:rsid w:val="00271B9E"/>
    <w:rsid w:val="00272471"/>
    <w:rsid w:val="00275E83"/>
    <w:rsid w:val="002768F6"/>
    <w:rsid w:val="00277CAE"/>
    <w:rsid w:val="0028192C"/>
    <w:rsid w:val="0028293E"/>
    <w:rsid w:val="002829A3"/>
    <w:rsid w:val="0028519E"/>
    <w:rsid w:val="002853C5"/>
    <w:rsid w:val="0028577D"/>
    <w:rsid w:val="0029079B"/>
    <w:rsid w:val="00291F75"/>
    <w:rsid w:val="00294002"/>
    <w:rsid w:val="0029456E"/>
    <w:rsid w:val="002952EC"/>
    <w:rsid w:val="00296075"/>
    <w:rsid w:val="002968D7"/>
    <w:rsid w:val="002A031D"/>
    <w:rsid w:val="002A2648"/>
    <w:rsid w:val="002A2772"/>
    <w:rsid w:val="002B1B3C"/>
    <w:rsid w:val="002B2579"/>
    <w:rsid w:val="002B2F73"/>
    <w:rsid w:val="002B3801"/>
    <w:rsid w:val="002B54FB"/>
    <w:rsid w:val="002B5E1D"/>
    <w:rsid w:val="002B7687"/>
    <w:rsid w:val="002C01AB"/>
    <w:rsid w:val="002C02F4"/>
    <w:rsid w:val="002C0D35"/>
    <w:rsid w:val="002C0E89"/>
    <w:rsid w:val="002C4D9F"/>
    <w:rsid w:val="002C5D22"/>
    <w:rsid w:val="002C6C94"/>
    <w:rsid w:val="002C72DE"/>
    <w:rsid w:val="002D018E"/>
    <w:rsid w:val="002D043A"/>
    <w:rsid w:val="002D0F02"/>
    <w:rsid w:val="002D1D38"/>
    <w:rsid w:val="002D226A"/>
    <w:rsid w:val="002D2804"/>
    <w:rsid w:val="002D3823"/>
    <w:rsid w:val="002D3E93"/>
    <w:rsid w:val="002D4DA0"/>
    <w:rsid w:val="002D5166"/>
    <w:rsid w:val="002D55F6"/>
    <w:rsid w:val="002D583E"/>
    <w:rsid w:val="002E3AA8"/>
    <w:rsid w:val="002E6C57"/>
    <w:rsid w:val="002E6D5B"/>
    <w:rsid w:val="002F14AD"/>
    <w:rsid w:val="002F1608"/>
    <w:rsid w:val="002F3B2D"/>
    <w:rsid w:val="002F3CEA"/>
    <w:rsid w:val="002F4AB2"/>
    <w:rsid w:val="002F4BC6"/>
    <w:rsid w:val="002F4C78"/>
    <w:rsid w:val="00300684"/>
    <w:rsid w:val="003006BE"/>
    <w:rsid w:val="003010D9"/>
    <w:rsid w:val="00302ADA"/>
    <w:rsid w:val="00304514"/>
    <w:rsid w:val="00306ABD"/>
    <w:rsid w:val="0030729F"/>
    <w:rsid w:val="00307433"/>
    <w:rsid w:val="00310C0B"/>
    <w:rsid w:val="003115B8"/>
    <w:rsid w:val="00312FCD"/>
    <w:rsid w:val="003140A6"/>
    <w:rsid w:val="003147E9"/>
    <w:rsid w:val="00316391"/>
    <w:rsid w:val="0031692B"/>
    <w:rsid w:val="00316B55"/>
    <w:rsid w:val="00321108"/>
    <w:rsid w:val="00322CF6"/>
    <w:rsid w:val="00324EF6"/>
    <w:rsid w:val="00325327"/>
    <w:rsid w:val="00326236"/>
    <w:rsid w:val="00327A84"/>
    <w:rsid w:val="003361EB"/>
    <w:rsid w:val="0033759F"/>
    <w:rsid w:val="00340B0F"/>
    <w:rsid w:val="003429B5"/>
    <w:rsid w:val="00342C56"/>
    <w:rsid w:val="00342DC0"/>
    <w:rsid w:val="00344375"/>
    <w:rsid w:val="00344C27"/>
    <w:rsid w:val="00344EDF"/>
    <w:rsid w:val="0034550D"/>
    <w:rsid w:val="003456C7"/>
    <w:rsid w:val="00345F52"/>
    <w:rsid w:val="003460AC"/>
    <w:rsid w:val="00346214"/>
    <w:rsid w:val="00347407"/>
    <w:rsid w:val="00347773"/>
    <w:rsid w:val="00351635"/>
    <w:rsid w:val="003528FA"/>
    <w:rsid w:val="00353C44"/>
    <w:rsid w:val="00354F33"/>
    <w:rsid w:val="003567D5"/>
    <w:rsid w:val="003577AB"/>
    <w:rsid w:val="00361EC2"/>
    <w:rsid w:val="003626C7"/>
    <w:rsid w:val="0036385E"/>
    <w:rsid w:val="00365895"/>
    <w:rsid w:val="003659DA"/>
    <w:rsid w:val="00365E72"/>
    <w:rsid w:val="00371A26"/>
    <w:rsid w:val="00373CDF"/>
    <w:rsid w:val="003768D4"/>
    <w:rsid w:val="003820AD"/>
    <w:rsid w:val="003821D3"/>
    <w:rsid w:val="00382F09"/>
    <w:rsid w:val="00382FBF"/>
    <w:rsid w:val="003841F1"/>
    <w:rsid w:val="00385BD1"/>
    <w:rsid w:val="00386264"/>
    <w:rsid w:val="00386761"/>
    <w:rsid w:val="00386D50"/>
    <w:rsid w:val="00387045"/>
    <w:rsid w:val="0038723A"/>
    <w:rsid w:val="00387C59"/>
    <w:rsid w:val="00390358"/>
    <w:rsid w:val="00393138"/>
    <w:rsid w:val="00394363"/>
    <w:rsid w:val="003A0C33"/>
    <w:rsid w:val="003A14E6"/>
    <w:rsid w:val="003A19A3"/>
    <w:rsid w:val="003A3F98"/>
    <w:rsid w:val="003A570C"/>
    <w:rsid w:val="003A59A4"/>
    <w:rsid w:val="003A67F2"/>
    <w:rsid w:val="003A7B27"/>
    <w:rsid w:val="003B0761"/>
    <w:rsid w:val="003B1664"/>
    <w:rsid w:val="003B212E"/>
    <w:rsid w:val="003B2E60"/>
    <w:rsid w:val="003B342A"/>
    <w:rsid w:val="003B367B"/>
    <w:rsid w:val="003B41AD"/>
    <w:rsid w:val="003B43CF"/>
    <w:rsid w:val="003B711C"/>
    <w:rsid w:val="003C0FB5"/>
    <w:rsid w:val="003C180A"/>
    <w:rsid w:val="003C2D99"/>
    <w:rsid w:val="003C3C12"/>
    <w:rsid w:val="003C3CC4"/>
    <w:rsid w:val="003C6553"/>
    <w:rsid w:val="003C7ADD"/>
    <w:rsid w:val="003D0998"/>
    <w:rsid w:val="003D12BE"/>
    <w:rsid w:val="003D580F"/>
    <w:rsid w:val="003D58C1"/>
    <w:rsid w:val="003D60FF"/>
    <w:rsid w:val="003E134E"/>
    <w:rsid w:val="003E2968"/>
    <w:rsid w:val="003E349A"/>
    <w:rsid w:val="003E380E"/>
    <w:rsid w:val="003E3CD2"/>
    <w:rsid w:val="003E443B"/>
    <w:rsid w:val="003E6D89"/>
    <w:rsid w:val="003E7424"/>
    <w:rsid w:val="003E7C49"/>
    <w:rsid w:val="003F0321"/>
    <w:rsid w:val="003F2585"/>
    <w:rsid w:val="003F2D31"/>
    <w:rsid w:val="003F30B4"/>
    <w:rsid w:val="003F69EC"/>
    <w:rsid w:val="003F6E24"/>
    <w:rsid w:val="003F736E"/>
    <w:rsid w:val="004014C1"/>
    <w:rsid w:val="004019A4"/>
    <w:rsid w:val="00402841"/>
    <w:rsid w:val="00403F6B"/>
    <w:rsid w:val="0040743B"/>
    <w:rsid w:val="004120A5"/>
    <w:rsid w:val="00412811"/>
    <w:rsid w:val="004133D0"/>
    <w:rsid w:val="00415FF6"/>
    <w:rsid w:val="00420CF7"/>
    <w:rsid w:val="0042182E"/>
    <w:rsid w:val="004225AF"/>
    <w:rsid w:val="00422B56"/>
    <w:rsid w:val="00422E9F"/>
    <w:rsid w:val="00423112"/>
    <w:rsid w:val="0042615E"/>
    <w:rsid w:val="00427312"/>
    <w:rsid w:val="00427FA7"/>
    <w:rsid w:val="00430FE9"/>
    <w:rsid w:val="004312AA"/>
    <w:rsid w:val="004379BE"/>
    <w:rsid w:val="00440F43"/>
    <w:rsid w:val="00442D48"/>
    <w:rsid w:val="00443138"/>
    <w:rsid w:val="004479DC"/>
    <w:rsid w:val="00447EDD"/>
    <w:rsid w:val="00450E9F"/>
    <w:rsid w:val="00453535"/>
    <w:rsid w:val="0045532B"/>
    <w:rsid w:val="00457083"/>
    <w:rsid w:val="00460F08"/>
    <w:rsid w:val="00460F65"/>
    <w:rsid w:val="00463805"/>
    <w:rsid w:val="00463B1B"/>
    <w:rsid w:val="00466084"/>
    <w:rsid w:val="0046631B"/>
    <w:rsid w:val="004668BA"/>
    <w:rsid w:val="00466946"/>
    <w:rsid w:val="004748F0"/>
    <w:rsid w:val="004749ED"/>
    <w:rsid w:val="00474A4F"/>
    <w:rsid w:val="0047618D"/>
    <w:rsid w:val="0047674B"/>
    <w:rsid w:val="00476DA4"/>
    <w:rsid w:val="00480CC3"/>
    <w:rsid w:val="0048462C"/>
    <w:rsid w:val="0049102D"/>
    <w:rsid w:val="0049306F"/>
    <w:rsid w:val="0049724F"/>
    <w:rsid w:val="004A0449"/>
    <w:rsid w:val="004A4251"/>
    <w:rsid w:val="004A4BB6"/>
    <w:rsid w:val="004A53CF"/>
    <w:rsid w:val="004A7FC5"/>
    <w:rsid w:val="004B16AC"/>
    <w:rsid w:val="004B1A8B"/>
    <w:rsid w:val="004B2521"/>
    <w:rsid w:val="004B3159"/>
    <w:rsid w:val="004B3B47"/>
    <w:rsid w:val="004B5103"/>
    <w:rsid w:val="004B6991"/>
    <w:rsid w:val="004B78D4"/>
    <w:rsid w:val="004C462E"/>
    <w:rsid w:val="004C50BD"/>
    <w:rsid w:val="004D1927"/>
    <w:rsid w:val="004D1E38"/>
    <w:rsid w:val="004D2A8D"/>
    <w:rsid w:val="004D343A"/>
    <w:rsid w:val="004D42D1"/>
    <w:rsid w:val="004D5A0A"/>
    <w:rsid w:val="004D6AF9"/>
    <w:rsid w:val="004D740D"/>
    <w:rsid w:val="004D7AD4"/>
    <w:rsid w:val="004E0870"/>
    <w:rsid w:val="004E156D"/>
    <w:rsid w:val="004E17C8"/>
    <w:rsid w:val="004E2D3F"/>
    <w:rsid w:val="004E33F3"/>
    <w:rsid w:val="004E4578"/>
    <w:rsid w:val="004E642C"/>
    <w:rsid w:val="004F016A"/>
    <w:rsid w:val="004F2560"/>
    <w:rsid w:val="004F2845"/>
    <w:rsid w:val="004F4AD4"/>
    <w:rsid w:val="004F66E9"/>
    <w:rsid w:val="005003A3"/>
    <w:rsid w:val="00502329"/>
    <w:rsid w:val="00502D06"/>
    <w:rsid w:val="005037D0"/>
    <w:rsid w:val="005047D5"/>
    <w:rsid w:val="005049FD"/>
    <w:rsid w:val="00504ADC"/>
    <w:rsid w:val="00504AEB"/>
    <w:rsid w:val="00505DCF"/>
    <w:rsid w:val="00506960"/>
    <w:rsid w:val="00506A13"/>
    <w:rsid w:val="0050767D"/>
    <w:rsid w:val="00507D1E"/>
    <w:rsid w:val="005108E2"/>
    <w:rsid w:val="00514678"/>
    <w:rsid w:val="005153B3"/>
    <w:rsid w:val="0051610F"/>
    <w:rsid w:val="005168AA"/>
    <w:rsid w:val="005169B3"/>
    <w:rsid w:val="00516E38"/>
    <w:rsid w:val="005172D8"/>
    <w:rsid w:val="00520A59"/>
    <w:rsid w:val="0052109B"/>
    <w:rsid w:val="005212D6"/>
    <w:rsid w:val="00523084"/>
    <w:rsid w:val="005248FE"/>
    <w:rsid w:val="005275AE"/>
    <w:rsid w:val="0053000C"/>
    <w:rsid w:val="00530177"/>
    <w:rsid w:val="005304ED"/>
    <w:rsid w:val="005305F3"/>
    <w:rsid w:val="0053088D"/>
    <w:rsid w:val="00531CD3"/>
    <w:rsid w:val="0053223F"/>
    <w:rsid w:val="005328CF"/>
    <w:rsid w:val="00532B76"/>
    <w:rsid w:val="005333E9"/>
    <w:rsid w:val="00535E24"/>
    <w:rsid w:val="005406E1"/>
    <w:rsid w:val="00542A32"/>
    <w:rsid w:val="00543524"/>
    <w:rsid w:val="005438BD"/>
    <w:rsid w:val="005449DE"/>
    <w:rsid w:val="0054507C"/>
    <w:rsid w:val="00545B4A"/>
    <w:rsid w:val="00551801"/>
    <w:rsid w:val="00551EBE"/>
    <w:rsid w:val="00552ADE"/>
    <w:rsid w:val="00553B76"/>
    <w:rsid w:val="00554FDF"/>
    <w:rsid w:val="00555559"/>
    <w:rsid w:val="0055606A"/>
    <w:rsid w:val="0055620C"/>
    <w:rsid w:val="00557875"/>
    <w:rsid w:val="0056052F"/>
    <w:rsid w:val="005611A0"/>
    <w:rsid w:val="00562E1D"/>
    <w:rsid w:val="005631A8"/>
    <w:rsid w:val="00565188"/>
    <w:rsid w:val="005660FE"/>
    <w:rsid w:val="0056643C"/>
    <w:rsid w:val="0056659F"/>
    <w:rsid w:val="00566D5D"/>
    <w:rsid w:val="00566E2A"/>
    <w:rsid w:val="00571B18"/>
    <w:rsid w:val="00576DAA"/>
    <w:rsid w:val="0057776E"/>
    <w:rsid w:val="00577D06"/>
    <w:rsid w:val="005807AA"/>
    <w:rsid w:val="00584341"/>
    <w:rsid w:val="00584F63"/>
    <w:rsid w:val="00585774"/>
    <w:rsid w:val="00585858"/>
    <w:rsid w:val="00587704"/>
    <w:rsid w:val="00587774"/>
    <w:rsid w:val="00590B3C"/>
    <w:rsid w:val="00591148"/>
    <w:rsid w:val="00592730"/>
    <w:rsid w:val="00594C95"/>
    <w:rsid w:val="005954DD"/>
    <w:rsid w:val="00595993"/>
    <w:rsid w:val="005A0C0D"/>
    <w:rsid w:val="005A146A"/>
    <w:rsid w:val="005A1A02"/>
    <w:rsid w:val="005A2ED4"/>
    <w:rsid w:val="005A5B9B"/>
    <w:rsid w:val="005A7C46"/>
    <w:rsid w:val="005B109B"/>
    <w:rsid w:val="005B1522"/>
    <w:rsid w:val="005B2D08"/>
    <w:rsid w:val="005B59AA"/>
    <w:rsid w:val="005B5D31"/>
    <w:rsid w:val="005B6316"/>
    <w:rsid w:val="005B68DE"/>
    <w:rsid w:val="005B74F7"/>
    <w:rsid w:val="005B756A"/>
    <w:rsid w:val="005C067B"/>
    <w:rsid w:val="005C1408"/>
    <w:rsid w:val="005C2708"/>
    <w:rsid w:val="005C2795"/>
    <w:rsid w:val="005C2F4F"/>
    <w:rsid w:val="005C3881"/>
    <w:rsid w:val="005C4BF5"/>
    <w:rsid w:val="005C6400"/>
    <w:rsid w:val="005D0C16"/>
    <w:rsid w:val="005D12E7"/>
    <w:rsid w:val="005D1954"/>
    <w:rsid w:val="005D2069"/>
    <w:rsid w:val="005D20F3"/>
    <w:rsid w:val="005D26DF"/>
    <w:rsid w:val="005D36AC"/>
    <w:rsid w:val="005D38AC"/>
    <w:rsid w:val="005D425C"/>
    <w:rsid w:val="005D6BBE"/>
    <w:rsid w:val="005D6D60"/>
    <w:rsid w:val="005E0131"/>
    <w:rsid w:val="005E05B8"/>
    <w:rsid w:val="005E1968"/>
    <w:rsid w:val="005E4525"/>
    <w:rsid w:val="005E470B"/>
    <w:rsid w:val="005E5702"/>
    <w:rsid w:val="005F12F8"/>
    <w:rsid w:val="005F16B9"/>
    <w:rsid w:val="005F1AFF"/>
    <w:rsid w:val="005F2384"/>
    <w:rsid w:val="005F27F9"/>
    <w:rsid w:val="005F2AC1"/>
    <w:rsid w:val="005F307F"/>
    <w:rsid w:val="005F37B0"/>
    <w:rsid w:val="005F4DEE"/>
    <w:rsid w:val="005F6221"/>
    <w:rsid w:val="005F6FC6"/>
    <w:rsid w:val="005F7248"/>
    <w:rsid w:val="00600498"/>
    <w:rsid w:val="006048D7"/>
    <w:rsid w:val="0060653F"/>
    <w:rsid w:val="006109E5"/>
    <w:rsid w:val="00610EE5"/>
    <w:rsid w:val="00611BEE"/>
    <w:rsid w:val="00613E85"/>
    <w:rsid w:val="00615E59"/>
    <w:rsid w:val="00617882"/>
    <w:rsid w:val="00621593"/>
    <w:rsid w:val="00621DE4"/>
    <w:rsid w:val="00622473"/>
    <w:rsid w:val="00623065"/>
    <w:rsid w:val="00623FF5"/>
    <w:rsid w:val="006250E9"/>
    <w:rsid w:val="00627323"/>
    <w:rsid w:val="006276C2"/>
    <w:rsid w:val="006322C0"/>
    <w:rsid w:val="006324F6"/>
    <w:rsid w:val="006377AF"/>
    <w:rsid w:val="0064068B"/>
    <w:rsid w:val="00640FA3"/>
    <w:rsid w:val="00641F74"/>
    <w:rsid w:val="00645584"/>
    <w:rsid w:val="006457F3"/>
    <w:rsid w:val="00645AA8"/>
    <w:rsid w:val="00647118"/>
    <w:rsid w:val="0064719D"/>
    <w:rsid w:val="006475DD"/>
    <w:rsid w:val="00650223"/>
    <w:rsid w:val="006513A6"/>
    <w:rsid w:val="00652532"/>
    <w:rsid w:val="0065442E"/>
    <w:rsid w:val="00654B29"/>
    <w:rsid w:val="00655A5E"/>
    <w:rsid w:val="00657D93"/>
    <w:rsid w:val="00657DF8"/>
    <w:rsid w:val="00661622"/>
    <w:rsid w:val="00665700"/>
    <w:rsid w:val="00666BEC"/>
    <w:rsid w:val="00667B8B"/>
    <w:rsid w:val="00670AB2"/>
    <w:rsid w:val="006739F4"/>
    <w:rsid w:val="006741D8"/>
    <w:rsid w:val="00674911"/>
    <w:rsid w:val="00674B1D"/>
    <w:rsid w:val="0067529D"/>
    <w:rsid w:val="006814EE"/>
    <w:rsid w:val="006817BD"/>
    <w:rsid w:val="0068366F"/>
    <w:rsid w:val="0068630D"/>
    <w:rsid w:val="00686431"/>
    <w:rsid w:val="006866AC"/>
    <w:rsid w:val="00686D51"/>
    <w:rsid w:val="00690EF6"/>
    <w:rsid w:val="00692892"/>
    <w:rsid w:val="00693444"/>
    <w:rsid w:val="00693804"/>
    <w:rsid w:val="00694A33"/>
    <w:rsid w:val="00695A23"/>
    <w:rsid w:val="00695FF0"/>
    <w:rsid w:val="006A1792"/>
    <w:rsid w:val="006A1AE3"/>
    <w:rsid w:val="006A1E87"/>
    <w:rsid w:val="006A4255"/>
    <w:rsid w:val="006A45EA"/>
    <w:rsid w:val="006A5354"/>
    <w:rsid w:val="006A6571"/>
    <w:rsid w:val="006A7927"/>
    <w:rsid w:val="006B1C02"/>
    <w:rsid w:val="006B1EEF"/>
    <w:rsid w:val="006B3076"/>
    <w:rsid w:val="006B5E29"/>
    <w:rsid w:val="006B6A48"/>
    <w:rsid w:val="006B70DE"/>
    <w:rsid w:val="006B74E0"/>
    <w:rsid w:val="006C0C8B"/>
    <w:rsid w:val="006C36F2"/>
    <w:rsid w:val="006C5906"/>
    <w:rsid w:val="006C644D"/>
    <w:rsid w:val="006C6585"/>
    <w:rsid w:val="006C6FFC"/>
    <w:rsid w:val="006D08BF"/>
    <w:rsid w:val="006D0BE0"/>
    <w:rsid w:val="006D2CDD"/>
    <w:rsid w:val="006D2F86"/>
    <w:rsid w:val="006D3F2C"/>
    <w:rsid w:val="006D437B"/>
    <w:rsid w:val="006D4618"/>
    <w:rsid w:val="006D519E"/>
    <w:rsid w:val="006D5393"/>
    <w:rsid w:val="006D5D56"/>
    <w:rsid w:val="006D65DE"/>
    <w:rsid w:val="006D6896"/>
    <w:rsid w:val="006D6998"/>
    <w:rsid w:val="006D7BD6"/>
    <w:rsid w:val="006E15C1"/>
    <w:rsid w:val="006E15C6"/>
    <w:rsid w:val="006E1FC4"/>
    <w:rsid w:val="006E37FE"/>
    <w:rsid w:val="006E3D1B"/>
    <w:rsid w:val="006E4DC4"/>
    <w:rsid w:val="006E6D30"/>
    <w:rsid w:val="006E6D5A"/>
    <w:rsid w:val="006E7038"/>
    <w:rsid w:val="006E77D1"/>
    <w:rsid w:val="006E7AE5"/>
    <w:rsid w:val="006F09D7"/>
    <w:rsid w:val="006F3B3C"/>
    <w:rsid w:val="006F40DB"/>
    <w:rsid w:val="006F40F5"/>
    <w:rsid w:val="006F436F"/>
    <w:rsid w:val="006F43B1"/>
    <w:rsid w:val="006F4BCE"/>
    <w:rsid w:val="006F636D"/>
    <w:rsid w:val="00700324"/>
    <w:rsid w:val="007004CC"/>
    <w:rsid w:val="0070172F"/>
    <w:rsid w:val="00703878"/>
    <w:rsid w:val="007050F2"/>
    <w:rsid w:val="00705390"/>
    <w:rsid w:val="00706954"/>
    <w:rsid w:val="007103A9"/>
    <w:rsid w:val="0071120C"/>
    <w:rsid w:val="00712ED6"/>
    <w:rsid w:val="007168B8"/>
    <w:rsid w:val="00716EF8"/>
    <w:rsid w:val="007178A7"/>
    <w:rsid w:val="00721A3A"/>
    <w:rsid w:val="00721D33"/>
    <w:rsid w:val="00721DF4"/>
    <w:rsid w:val="007228D7"/>
    <w:rsid w:val="00722EC7"/>
    <w:rsid w:val="00723206"/>
    <w:rsid w:val="0072456A"/>
    <w:rsid w:val="00724CF6"/>
    <w:rsid w:val="00725852"/>
    <w:rsid w:val="00725EC4"/>
    <w:rsid w:val="00726C57"/>
    <w:rsid w:val="00727675"/>
    <w:rsid w:val="00730562"/>
    <w:rsid w:val="007329C8"/>
    <w:rsid w:val="00732ABF"/>
    <w:rsid w:val="00733E39"/>
    <w:rsid w:val="00736545"/>
    <w:rsid w:val="00737312"/>
    <w:rsid w:val="0074070A"/>
    <w:rsid w:val="0074369E"/>
    <w:rsid w:val="00744250"/>
    <w:rsid w:val="00744808"/>
    <w:rsid w:val="00744B51"/>
    <w:rsid w:val="00744D70"/>
    <w:rsid w:val="00745B6B"/>
    <w:rsid w:val="007509C4"/>
    <w:rsid w:val="00752BA9"/>
    <w:rsid w:val="00754372"/>
    <w:rsid w:val="00754805"/>
    <w:rsid w:val="00761CF9"/>
    <w:rsid w:val="00763134"/>
    <w:rsid w:val="00764B7F"/>
    <w:rsid w:val="00764FCC"/>
    <w:rsid w:val="00767AF5"/>
    <w:rsid w:val="007705ED"/>
    <w:rsid w:val="00772E6A"/>
    <w:rsid w:val="00772FF3"/>
    <w:rsid w:val="007735C7"/>
    <w:rsid w:val="007737B3"/>
    <w:rsid w:val="00773C09"/>
    <w:rsid w:val="007745E6"/>
    <w:rsid w:val="007764B6"/>
    <w:rsid w:val="00777AA4"/>
    <w:rsid w:val="00777B5A"/>
    <w:rsid w:val="00780FB3"/>
    <w:rsid w:val="007827C0"/>
    <w:rsid w:val="0078454B"/>
    <w:rsid w:val="00784742"/>
    <w:rsid w:val="00785469"/>
    <w:rsid w:val="00785A5D"/>
    <w:rsid w:val="00785B34"/>
    <w:rsid w:val="00785FF5"/>
    <w:rsid w:val="007861E4"/>
    <w:rsid w:val="00786DC6"/>
    <w:rsid w:val="007872CD"/>
    <w:rsid w:val="00787F1D"/>
    <w:rsid w:val="00790B49"/>
    <w:rsid w:val="007916C8"/>
    <w:rsid w:val="00792AB0"/>
    <w:rsid w:val="00792B1F"/>
    <w:rsid w:val="00792B75"/>
    <w:rsid w:val="00793F6C"/>
    <w:rsid w:val="0079400D"/>
    <w:rsid w:val="00795511"/>
    <w:rsid w:val="00796D10"/>
    <w:rsid w:val="007A1CEB"/>
    <w:rsid w:val="007A1D37"/>
    <w:rsid w:val="007A3F10"/>
    <w:rsid w:val="007A69DE"/>
    <w:rsid w:val="007A6B1B"/>
    <w:rsid w:val="007A75BB"/>
    <w:rsid w:val="007B1F59"/>
    <w:rsid w:val="007B2F39"/>
    <w:rsid w:val="007B4592"/>
    <w:rsid w:val="007B51F2"/>
    <w:rsid w:val="007B5643"/>
    <w:rsid w:val="007B7030"/>
    <w:rsid w:val="007C2201"/>
    <w:rsid w:val="007C2720"/>
    <w:rsid w:val="007D079C"/>
    <w:rsid w:val="007D1DC3"/>
    <w:rsid w:val="007D244C"/>
    <w:rsid w:val="007D24C7"/>
    <w:rsid w:val="007D2E72"/>
    <w:rsid w:val="007D4DEB"/>
    <w:rsid w:val="007D773D"/>
    <w:rsid w:val="007D7880"/>
    <w:rsid w:val="007E5474"/>
    <w:rsid w:val="007E577F"/>
    <w:rsid w:val="007E6E6F"/>
    <w:rsid w:val="007E7BC1"/>
    <w:rsid w:val="007E7FDB"/>
    <w:rsid w:val="007F0DC8"/>
    <w:rsid w:val="007F1923"/>
    <w:rsid w:val="007F1953"/>
    <w:rsid w:val="007F1B94"/>
    <w:rsid w:val="007F1EE2"/>
    <w:rsid w:val="007F1FCE"/>
    <w:rsid w:val="007F3543"/>
    <w:rsid w:val="007F3AD7"/>
    <w:rsid w:val="007F3FAB"/>
    <w:rsid w:val="008013DF"/>
    <w:rsid w:val="008046C0"/>
    <w:rsid w:val="00804ACF"/>
    <w:rsid w:val="008051E9"/>
    <w:rsid w:val="0080799C"/>
    <w:rsid w:val="008103D9"/>
    <w:rsid w:val="008107CB"/>
    <w:rsid w:val="00811551"/>
    <w:rsid w:val="0081290D"/>
    <w:rsid w:val="00812FF3"/>
    <w:rsid w:val="0081330B"/>
    <w:rsid w:val="008170FE"/>
    <w:rsid w:val="00820B59"/>
    <w:rsid w:val="008219E7"/>
    <w:rsid w:val="00822111"/>
    <w:rsid w:val="00822F81"/>
    <w:rsid w:val="0082365C"/>
    <w:rsid w:val="00825982"/>
    <w:rsid w:val="008265E9"/>
    <w:rsid w:val="008305AA"/>
    <w:rsid w:val="008309DE"/>
    <w:rsid w:val="0083119A"/>
    <w:rsid w:val="00831E4A"/>
    <w:rsid w:val="0083225D"/>
    <w:rsid w:val="00832306"/>
    <w:rsid w:val="00832E85"/>
    <w:rsid w:val="00833647"/>
    <w:rsid w:val="008359C5"/>
    <w:rsid w:val="00840184"/>
    <w:rsid w:val="00841EB4"/>
    <w:rsid w:val="008425F7"/>
    <w:rsid w:val="00843208"/>
    <w:rsid w:val="00844092"/>
    <w:rsid w:val="00846164"/>
    <w:rsid w:val="008466BD"/>
    <w:rsid w:val="00850AE9"/>
    <w:rsid w:val="0085139B"/>
    <w:rsid w:val="00852C63"/>
    <w:rsid w:val="00854277"/>
    <w:rsid w:val="0085579C"/>
    <w:rsid w:val="00856864"/>
    <w:rsid w:val="00856E25"/>
    <w:rsid w:val="00856F9A"/>
    <w:rsid w:val="00856FE9"/>
    <w:rsid w:val="00857AA3"/>
    <w:rsid w:val="00860007"/>
    <w:rsid w:val="00860D2C"/>
    <w:rsid w:val="0086243E"/>
    <w:rsid w:val="00863222"/>
    <w:rsid w:val="00864297"/>
    <w:rsid w:val="00865A38"/>
    <w:rsid w:val="00866D2D"/>
    <w:rsid w:val="008670F5"/>
    <w:rsid w:val="0087022B"/>
    <w:rsid w:val="00871E3C"/>
    <w:rsid w:val="008722E3"/>
    <w:rsid w:val="008745C1"/>
    <w:rsid w:val="008755BC"/>
    <w:rsid w:val="008756DC"/>
    <w:rsid w:val="008757B0"/>
    <w:rsid w:val="008771A1"/>
    <w:rsid w:val="00881CAF"/>
    <w:rsid w:val="008825C4"/>
    <w:rsid w:val="00882AF4"/>
    <w:rsid w:val="0088349B"/>
    <w:rsid w:val="00883B87"/>
    <w:rsid w:val="00883D00"/>
    <w:rsid w:val="008840D1"/>
    <w:rsid w:val="00885A1F"/>
    <w:rsid w:val="008861DB"/>
    <w:rsid w:val="008871F3"/>
    <w:rsid w:val="00890376"/>
    <w:rsid w:val="00892B41"/>
    <w:rsid w:val="0089342B"/>
    <w:rsid w:val="00895F13"/>
    <w:rsid w:val="0089732A"/>
    <w:rsid w:val="008A0441"/>
    <w:rsid w:val="008A05EC"/>
    <w:rsid w:val="008A13A4"/>
    <w:rsid w:val="008A39D4"/>
    <w:rsid w:val="008A4772"/>
    <w:rsid w:val="008A53C6"/>
    <w:rsid w:val="008A6D8B"/>
    <w:rsid w:val="008B2095"/>
    <w:rsid w:val="008B24BC"/>
    <w:rsid w:val="008B2D28"/>
    <w:rsid w:val="008B2EFC"/>
    <w:rsid w:val="008B3A10"/>
    <w:rsid w:val="008B5A01"/>
    <w:rsid w:val="008B69D0"/>
    <w:rsid w:val="008C1848"/>
    <w:rsid w:val="008C21DE"/>
    <w:rsid w:val="008C3FEA"/>
    <w:rsid w:val="008C3FF6"/>
    <w:rsid w:val="008C512C"/>
    <w:rsid w:val="008C5188"/>
    <w:rsid w:val="008C6CDF"/>
    <w:rsid w:val="008C7555"/>
    <w:rsid w:val="008D08AB"/>
    <w:rsid w:val="008D1A5D"/>
    <w:rsid w:val="008D1D84"/>
    <w:rsid w:val="008D2303"/>
    <w:rsid w:val="008D5709"/>
    <w:rsid w:val="008E00E0"/>
    <w:rsid w:val="008E17DC"/>
    <w:rsid w:val="008E1D4B"/>
    <w:rsid w:val="008E2034"/>
    <w:rsid w:val="008E781C"/>
    <w:rsid w:val="008E785E"/>
    <w:rsid w:val="008E789F"/>
    <w:rsid w:val="008F2EA0"/>
    <w:rsid w:val="008F55F5"/>
    <w:rsid w:val="008F6E11"/>
    <w:rsid w:val="008F7D0F"/>
    <w:rsid w:val="00903F13"/>
    <w:rsid w:val="00904A0D"/>
    <w:rsid w:val="009051F4"/>
    <w:rsid w:val="00907D41"/>
    <w:rsid w:val="009109EF"/>
    <w:rsid w:val="009128AC"/>
    <w:rsid w:val="00912992"/>
    <w:rsid w:val="00912AFA"/>
    <w:rsid w:val="00912EDF"/>
    <w:rsid w:val="0091563D"/>
    <w:rsid w:val="00915B36"/>
    <w:rsid w:val="00915C43"/>
    <w:rsid w:val="00916AC8"/>
    <w:rsid w:val="00917FAF"/>
    <w:rsid w:val="009209D6"/>
    <w:rsid w:val="00924208"/>
    <w:rsid w:val="00924B20"/>
    <w:rsid w:val="0092501F"/>
    <w:rsid w:val="00927EAA"/>
    <w:rsid w:val="00930051"/>
    <w:rsid w:val="0093263F"/>
    <w:rsid w:val="00933E8E"/>
    <w:rsid w:val="00935875"/>
    <w:rsid w:val="00941308"/>
    <w:rsid w:val="00942FBB"/>
    <w:rsid w:val="009449AF"/>
    <w:rsid w:val="00944C55"/>
    <w:rsid w:val="00946902"/>
    <w:rsid w:val="00946FE1"/>
    <w:rsid w:val="009475CF"/>
    <w:rsid w:val="0094798D"/>
    <w:rsid w:val="0095041E"/>
    <w:rsid w:val="00951077"/>
    <w:rsid w:val="00951AC2"/>
    <w:rsid w:val="00952B4A"/>
    <w:rsid w:val="009537E9"/>
    <w:rsid w:val="0095689F"/>
    <w:rsid w:val="00960A5B"/>
    <w:rsid w:val="00960E9C"/>
    <w:rsid w:val="009628E8"/>
    <w:rsid w:val="0096483B"/>
    <w:rsid w:val="00966385"/>
    <w:rsid w:val="009702B4"/>
    <w:rsid w:val="0097049E"/>
    <w:rsid w:val="00972A58"/>
    <w:rsid w:val="00972A83"/>
    <w:rsid w:val="009736F2"/>
    <w:rsid w:val="00975A44"/>
    <w:rsid w:val="00975BB3"/>
    <w:rsid w:val="00976A85"/>
    <w:rsid w:val="00981B14"/>
    <w:rsid w:val="009844C4"/>
    <w:rsid w:val="00984F54"/>
    <w:rsid w:val="00985AD2"/>
    <w:rsid w:val="00986678"/>
    <w:rsid w:val="009870A5"/>
    <w:rsid w:val="009910D1"/>
    <w:rsid w:val="009913A4"/>
    <w:rsid w:val="00991678"/>
    <w:rsid w:val="00991C8B"/>
    <w:rsid w:val="00995409"/>
    <w:rsid w:val="0099684B"/>
    <w:rsid w:val="009A021D"/>
    <w:rsid w:val="009A14B5"/>
    <w:rsid w:val="009A4FB5"/>
    <w:rsid w:val="009A6F4C"/>
    <w:rsid w:val="009A7F88"/>
    <w:rsid w:val="009A7FDF"/>
    <w:rsid w:val="009B0A00"/>
    <w:rsid w:val="009B21FA"/>
    <w:rsid w:val="009B447B"/>
    <w:rsid w:val="009B4BEA"/>
    <w:rsid w:val="009B4CEF"/>
    <w:rsid w:val="009B581B"/>
    <w:rsid w:val="009B5A9A"/>
    <w:rsid w:val="009B6D81"/>
    <w:rsid w:val="009B7F4E"/>
    <w:rsid w:val="009C070A"/>
    <w:rsid w:val="009C1F61"/>
    <w:rsid w:val="009C2DF0"/>
    <w:rsid w:val="009C363E"/>
    <w:rsid w:val="009C43C5"/>
    <w:rsid w:val="009C546A"/>
    <w:rsid w:val="009C6C44"/>
    <w:rsid w:val="009D23BC"/>
    <w:rsid w:val="009D2DA9"/>
    <w:rsid w:val="009D30B8"/>
    <w:rsid w:val="009D6732"/>
    <w:rsid w:val="009D7D69"/>
    <w:rsid w:val="009E12E8"/>
    <w:rsid w:val="009E13BF"/>
    <w:rsid w:val="009E24D8"/>
    <w:rsid w:val="009E4C38"/>
    <w:rsid w:val="009E515C"/>
    <w:rsid w:val="009F023F"/>
    <w:rsid w:val="009F30F2"/>
    <w:rsid w:val="009F38CF"/>
    <w:rsid w:val="009F3EAF"/>
    <w:rsid w:val="009F4AFB"/>
    <w:rsid w:val="009F5023"/>
    <w:rsid w:val="009F5576"/>
    <w:rsid w:val="009F5635"/>
    <w:rsid w:val="009F56BC"/>
    <w:rsid w:val="009F7A20"/>
    <w:rsid w:val="00A006B0"/>
    <w:rsid w:val="00A016E9"/>
    <w:rsid w:val="00A01B5F"/>
    <w:rsid w:val="00A04D33"/>
    <w:rsid w:val="00A0532E"/>
    <w:rsid w:val="00A06441"/>
    <w:rsid w:val="00A0777D"/>
    <w:rsid w:val="00A1047F"/>
    <w:rsid w:val="00A11B41"/>
    <w:rsid w:val="00A135F8"/>
    <w:rsid w:val="00A14757"/>
    <w:rsid w:val="00A156F8"/>
    <w:rsid w:val="00A16942"/>
    <w:rsid w:val="00A16E8F"/>
    <w:rsid w:val="00A20986"/>
    <w:rsid w:val="00A21E7D"/>
    <w:rsid w:val="00A22751"/>
    <w:rsid w:val="00A22FA9"/>
    <w:rsid w:val="00A23963"/>
    <w:rsid w:val="00A23BE7"/>
    <w:rsid w:val="00A241E0"/>
    <w:rsid w:val="00A24E47"/>
    <w:rsid w:val="00A2610A"/>
    <w:rsid w:val="00A31F27"/>
    <w:rsid w:val="00A32034"/>
    <w:rsid w:val="00A33B81"/>
    <w:rsid w:val="00A35124"/>
    <w:rsid w:val="00A35E63"/>
    <w:rsid w:val="00A402FD"/>
    <w:rsid w:val="00A42F17"/>
    <w:rsid w:val="00A4397B"/>
    <w:rsid w:val="00A43E12"/>
    <w:rsid w:val="00A451B5"/>
    <w:rsid w:val="00A45DC9"/>
    <w:rsid w:val="00A468A8"/>
    <w:rsid w:val="00A5327E"/>
    <w:rsid w:val="00A5443C"/>
    <w:rsid w:val="00A54D0D"/>
    <w:rsid w:val="00A55E40"/>
    <w:rsid w:val="00A56A24"/>
    <w:rsid w:val="00A56DF0"/>
    <w:rsid w:val="00A573E6"/>
    <w:rsid w:val="00A603E4"/>
    <w:rsid w:val="00A607E8"/>
    <w:rsid w:val="00A61A36"/>
    <w:rsid w:val="00A61FFD"/>
    <w:rsid w:val="00A665FB"/>
    <w:rsid w:val="00A701A0"/>
    <w:rsid w:val="00A7106D"/>
    <w:rsid w:val="00A71590"/>
    <w:rsid w:val="00A757C0"/>
    <w:rsid w:val="00A81017"/>
    <w:rsid w:val="00A81606"/>
    <w:rsid w:val="00A8168B"/>
    <w:rsid w:val="00A84630"/>
    <w:rsid w:val="00A86F70"/>
    <w:rsid w:val="00A87AB7"/>
    <w:rsid w:val="00A90771"/>
    <w:rsid w:val="00A92434"/>
    <w:rsid w:val="00A9283F"/>
    <w:rsid w:val="00A92C1D"/>
    <w:rsid w:val="00A92F7E"/>
    <w:rsid w:val="00A92FAA"/>
    <w:rsid w:val="00A9723B"/>
    <w:rsid w:val="00A97F8A"/>
    <w:rsid w:val="00AA0351"/>
    <w:rsid w:val="00AA134A"/>
    <w:rsid w:val="00AA152A"/>
    <w:rsid w:val="00AA26F1"/>
    <w:rsid w:val="00AA495E"/>
    <w:rsid w:val="00AA4B7E"/>
    <w:rsid w:val="00AA692E"/>
    <w:rsid w:val="00AB0273"/>
    <w:rsid w:val="00AB24EA"/>
    <w:rsid w:val="00AB30C9"/>
    <w:rsid w:val="00AB3C3C"/>
    <w:rsid w:val="00AB5B64"/>
    <w:rsid w:val="00AB5F01"/>
    <w:rsid w:val="00AC036E"/>
    <w:rsid w:val="00AC061A"/>
    <w:rsid w:val="00AC1374"/>
    <w:rsid w:val="00AC174B"/>
    <w:rsid w:val="00AC5EE7"/>
    <w:rsid w:val="00AC61CF"/>
    <w:rsid w:val="00AC7005"/>
    <w:rsid w:val="00AD1D30"/>
    <w:rsid w:val="00AD4896"/>
    <w:rsid w:val="00AD4D08"/>
    <w:rsid w:val="00AD53A8"/>
    <w:rsid w:val="00AD5E02"/>
    <w:rsid w:val="00AD7DD7"/>
    <w:rsid w:val="00AE1B1C"/>
    <w:rsid w:val="00AE5012"/>
    <w:rsid w:val="00AE6A74"/>
    <w:rsid w:val="00AE7068"/>
    <w:rsid w:val="00AE70CE"/>
    <w:rsid w:val="00AF1F31"/>
    <w:rsid w:val="00AF4FF9"/>
    <w:rsid w:val="00AF528F"/>
    <w:rsid w:val="00AF6A58"/>
    <w:rsid w:val="00AF7EF1"/>
    <w:rsid w:val="00B0143C"/>
    <w:rsid w:val="00B02584"/>
    <w:rsid w:val="00B03B83"/>
    <w:rsid w:val="00B04F2D"/>
    <w:rsid w:val="00B0690E"/>
    <w:rsid w:val="00B078F7"/>
    <w:rsid w:val="00B079DB"/>
    <w:rsid w:val="00B108F9"/>
    <w:rsid w:val="00B1225B"/>
    <w:rsid w:val="00B1321C"/>
    <w:rsid w:val="00B1398E"/>
    <w:rsid w:val="00B13BA2"/>
    <w:rsid w:val="00B1697F"/>
    <w:rsid w:val="00B20BAF"/>
    <w:rsid w:val="00B20EFF"/>
    <w:rsid w:val="00B25BFB"/>
    <w:rsid w:val="00B261CA"/>
    <w:rsid w:val="00B30DC0"/>
    <w:rsid w:val="00B30EBC"/>
    <w:rsid w:val="00B310BB"/>
    <w:rsid w:val="00B33A68"/>
    <w:rsid w:val="00B33AC4"/>
    <w:rsid w:val="00B35DA1"/>
    <w:rsid w:val="00B405E2"/>
    <w:rsid w:val="00B408EB"/>
    <w:rsid w:val="00B409C4"/>
    <w:rsid w:val="00B42751"/>
    <w:rsid w:val="00B427F3"/>
    <w:rsid w:val="00B449F0"/>
    <w:rsid w:val="00B4629F"/>
    <w:rsid w:val="00B502AD"/>
    <w:rsid w:val="00B50D1F"/>
    <w:rsid w:val="00B5145A"/>
    <w:rsid w:val="00B5192D"/>
    <w:rsid w:val="00B52255"/>
    <w:rsid w:val="00B53E81"/>
    <w:rsid w:val="00B55383"/>
    <w:rsid w:val="00B56A3C"/>
    <w:rsid w:val="00B5775F"/>
    <w:rsid w:val="00B61D87"/>
    <w:rsid w:val="00B6334F"/>
    <w:rsid w:val="00B64441"/>
    <w:rsid w:val="00B64957"/>
    <w:rsid w:val="00B7092E"/>
    <w:rsid w:val="00B7120E"/>
    <w:rsid w:val="00B7379B"/>
    <w:rsid w:val="00B74AAA"/>
    <w:rsid w:val="00B74CE7"/>
    <w:rsid w:val="00B76CDE"/>
    <w:rsid w:val="00B76EE2"/>
    <w:rsid w:val="00B7739C"/>
    <w:rsid w:val="00B8241F"/>
    <w:rsid w:val="00B85FB1"/>
    <w:rsid w:val="00B90429"/>
    <w:rsid w:val="00B90A8A"/>
    <w:rsid w:val="00B95184"/>
    <w:rsid w:val="00B961E8"/>
    <w:rsid w:val="00BA12BD"/>
    <w:rsid w:val="00BA25E7"/>
    <w:rsid w:val="00BA5920"/>
    <w:rsid w:val="00BA62A4"/>
    <w:rsid w:val="00BB032C"/>
    <w:rsid w:val="00BB0D7E"/>
    <w:rsid w:val="00BB13CE"/>
    <w:rsid w:val="00BB190F"/>
    <w:rsid w:val="00BB5C16"/>
    <w:rsid w:val="00BB5EC7"/>
    <w:rsid w:val="00BC03F9"/>
    <w:rsid w:val="00BC0681"/>
    <w:rsid w:val="00BC27CE"/>
    <w:rsid w:val="00BC2A47"/>
    <w:rsid w:val="00BC3536"/>
    <w:rsid w:val="00BC3786"/>
    <w:rsid w:val="00BC3A6B"/>
    <w:rsid w:val="00BC4823"/>
    <w:rsid w:val="00BC520A"/>
    <w:rsid w:val="00BC5B9A"/>
    <w:rsid w:val="00BD0E1C"/>
    <w:rsid w:val="00BD11CF"/>
    <w:rsid w:val="00BD16A1"/>
    <w:rsid w:val="00BD1F69"/>
    <w:rsid w:val="00BD2671"/>
    <w:rsid w:val="00BD2E81"/>
    <w:rsid w:val="00BD2EB1"/>
    <w:rsid w:val="00BD3755"/>
    <w:rsid w:val="00BD4548"/>
    <w:rsid w:val="00BD4706"/>
    <w:rsid w:val="00BD5FF0"/>
    <w:rsid w:val="00BD771E"/>
    <w:rsid w:val="00BE0192"/>
    <w:rsid w:val="00BE1871"/>
    <w:rsid w:val="00BE29B2"/>
    <w:rsid w:val="00BE6141"/>
    <w:rsid w:val="00BE61A3"/>
    <w:rsid w:val="00BF0B59"/>
    <w:rsid w:val="00BF2191"/>
    <w:rsid w:val="00BF301D"/>
    <w:rsid w:val="00BF41E6"/>
    <w:rsid w:val="00BF44DD"/>
    <w:rsid w:val="00BF4AA1"/>
    <w:rsid w:val="00BF60D5"/>
    <w:rsid w:val="00BF6147"/>
    <w:rsid w:val="00BF6951"/>
    <w:rsid w:val="00BF727E"/>
    <w:rsid w:val="00BF7374"/>
    <w:rsid w:val="00BF7C1B"/>
    <w:rsid w:val="00C0008D"/>
    <w:rsid w:val="00C00CCC"/>
    <w:rsid w:val="00C01934"/>
    <w:rsid w:val="00C035A4"/>
    <w:rsid w:val="00C03CC9"/>
    <w:rsid w:val="00C04B97"/>
    <w:rsid w:val="00C055CD"/>
    <w:rsid w:val="00C05CC8"/>
    <w:rsid w:val="00C06D77"/>
    <w:rsid w:val="00C07668"/>
    <w:rsid w:val="00C128F3"/>
    <w:rsid w:val="00C133A2"/>
    <w:rsid w:val="00C144E3"/>
    <w:rsid w:val="00C14D45"/>
    <w:rsid w:val="00C14EBC"/>
    <w:rsid w:val="00C1590E"/>
    <w:rsid w:val="00C15F4F"/>
    <w:rsid w:val="00C175F8"/>
    <w:rsid w:val="00C2431F"/>
    <w:rsid w:val="00C2446F"/>
    <w:rsid w:val="00C248C3"/>
    <w:rsid w:val="00C2554C"/>
    <w:rsid w:val="00C2585C"/>
    <w:rsid w:val="00C26E5B"/>
    <w:rsid w:val="00C34BE7"/>
    <w:rsid w:val="00C35084"/>
    <w:rsid w:val="00C36765"/>
    <w:rsid w:val="00C37BDF"/>
    <w:rsid w:val="00C37C05"/>
    <w:rsid w:val="00C4207A"/>
    <w:rsid w:val="00C42539"/>
    <w:rsid w:val="00C42A76"/>
    <w:rsid w:val="00C42DC8"/>
    <w:rsid w:val="00C43108"/>
    <w:rsid w:val="00C45C63"/>
    <w:rsid w:val="00C45FA2"/>
    <w:rsid w:val="00C46A5A"/>
    <w:rsid w:val="00C5191F"/>
    <w:rsid w:val="00C52687"/>
    <w:rsid w:val="00C5373A"/>
    <w:rsid w:val="00C56823"/>
    <w:rsid w:val="00C6105F"/>
    <w:rsid w:val="00C632E4"/>
    <w:rsid w:val="00C640DC"/>
    <w:rsid w:val="00C64430"/>
    <w:rsid w:val="00C6537E"/>
    <w:rsid w:val="00C65CF9"/>
    <w:rsid w:val="00C66F60"/>
    <w:rsid w:val="00C67B60"/>
    <w:rsid w:val="00C71CB2"/>
    <w:rsid w:val="00C72519"/>
    <w:rsid w:val="00C73AC9"/>
    <w:rsid w:val="00C74B61"/>
    <w:rsid w:val="00C75439"/>
    <w:rsid w:val="00C7567C"/>
    <w:rsid w:val="00C765FB"/>
    <w:rsid w:val="00C80FE4"/>
    <w:rsid w:val="00C81D14"/>
    <w:rsid w:val="00C82EF1"/>
    <w:rsid w:val="00C83659"/>
    <w:rsid w:val="00C84B9F"/>
    <w:rsid w:val="00C915AF"/>
    <w:rsid w:val="00C93C24"/>
    <w:rsid w:val="00C948FB"/>
    <w:rsid w:val="00C94C0C"/>
    <w:rsid w:val="00C96B70"/>
    <w:rsid w:val="00C97625"/>
    <w:rsid w:val="00C97A66"/>
    <w:rsid w:val="00CA16DF"/>
    <w:rsid w:val="00CA3AB4"/>
    <w:rsid w:val="00CA457F"/>
    <w:rsid w:val="00CA45B8"/>
    <w:rsid w:val="00CA465E"/>
    <w:rsid w:val="00CA5253"/>
    <w:rsid w:val="00CB021A"/>
    <w:rsid w:val="00CB430A"/>
    <w:rsid w:val="00CB477F"/>
    <w:rsid w:val="00CB4846"/>
    <w:rsid w:val="00CB5021"/>
    <w:rsid w:val="00CB5AAB"/>
    <w:rsid w:val="00CC1F4E"/>
    <w:rsid w:val="00CC237A"/>
    <w:rsid w:val="00CC321B"/>
    <w:rsid w:val="00CC4A4B"/>
    <w:rsid w:val="00CC7223"/>
    <w:rsid w:val="00CD08C6"/>
    <w:rsid w:val="00CD19EE"/>
    <w:rsid w:val="00CD3FAC"/>
    <w:rsid w:val="00CD3FE4"/>
    <w:rsid w:val="00CD6A60"/>
    <w:rsid w:val="00CD7191"/>
    <w:rsid w:val="00CE1379"/>
    <w:rsid w:val="00CE21CD"/>
    <w:rsid w:val="00CE2642"/>
    <w:rsid w:val="00CE31F4"/>
    <w:rsid w:val="00CE3BB7"/>
    <w:rsid w:val="00CE40C8"/>
    <w:rsid w:val="00CE6755"/>
    <w:rsid w:val="00CE7B94"/>
    <w:rsid w:val="00CF4792"/>
    <w:rsid w:val="00CF4A04"/>
    <w:rsid w:val="00CF53E2"/>
    <w:rsid w:val="00CF6993"/>
    <w:rsid w:val="00CF724F"/>
    <w:rsid w:val="00D009EA"/>
    <w:rsid w:val="00D01AAF"/>
    <w:rsid w:val="00D025CB"/>
    <w:rsid w:val="00D02ED4"/>
    <w:rsid w:val="00D03CCA"/>
    <w:rsid w:val="00D04A7F"/>
    <w:rsid w:val="00D053B2"/>
    <w:rsid w:val="00D053D9"/>
    <w:rsid w:val="00D05A2F"/>
    <w:rsid w:val="00D063EB"/>
    <w:rsid w:val="00D07936"/>
    <w:rsid w:val="00D11DD2"/>
    <w:rsid w:val="00D13879"/>
    <w:rsid w:val="00D13A98"/>
    <w:rsid w:val="00D15858"/>
    <w:rsid w:val="00D164C7"/>
    <w:rsid w:val="00D172D0"/>
    <w:rsid w:val="00D17D06"/>
    <w:rsid w:val="00D2309C"/>
    <w:rsid w:val="00D23830"/>
    <w:rsid w:val="00D24344"/>
    <w:rsid w:val="00D25AA8"/>
    <w:rsid w:val="00D277E9"/>
    <w:rsid w:val="00D27FB2"/>
    <w:rsid w:val="00D3249F"/>
    <w:rsid w:val="00D34412"/>
    <w:rsid w:val="00D34EBA"/>
    <w:rsid w:val="00D34F36"/>
    <w:rsid w:val="00D3566A"/>
    <w:rsid w:val="00D359CC"/>
    <w:rsid w:val="00D37E98"/>
    <w:rsid w:val="00D406DB"/>
    <w:rsid w:val="00D40E28"/>
    <w:rsid w:val="00D41597"/>
    <w:rsid w:val="00D41B41"/>
    <w:rsid w:val="00D44071"/>
    <w:rsid w:val="00D44354"/>
    <w:rsid w:val="00D475FA"/>
    <w:rsid w:val="00D4770B"/>
    <w:rsid w:val="00D47C36"/>
    <w:rsid w:val="00D52D12"/>
    <w:rsid w:val="00D52FAC"/>
    <w:rsid w:val="00D5381B"/>
    <w:rsid w:val="00D53DCC"/>
    <w:rsid w:val="00D54FC8"/>
    <w:rsid w:val="00D568DE"/>
    <w:rsid w:val="00D56EC2"/>
    <w:rsid w:val="00D62E90"/>
    <w:rsid w:val="00D63229"/>
    <w:rsid w:val="00D65E4D"/>
    <w:rsid w:val="00D66434"/>
    <w:rsid w:val="00D6678F"/>
    <w:rsid w:val="00D679FC"/>
    <w:rsid w:val="00D73378"/>
    <w:rsid w:val="00D73D18"/>
    <w:rsid w:val="00D752FB"/>
    <w:rsid w:val="00D76A71"/>
    <w:rsid w:val="00D77B56"/>
    <w:rsid w:val="00D8336E"/>
    <w:rsid w:val="00D837E7"/>
    <w:rsid w:val="00D8475C"/>
    <w:rsid w:val="00D85EBE"/>
    <w:rsid w:val="00D8643A"/>
    <w:rsid w:val="00D87CD1"/>
    <w:rsid w:val="00D87CE3"/>
    <w:rsid w:val="00D929AB"/>
    <w:rsid w:val="00D931A9"/>
    <w:rsid w:val="00D943DE"/>
    <w:rsid w:val="00D95B1F"/>
    <w:rsid w:val="00D966EA"/>
    <w:rsid w:val="00D96837"/>
    <w:rsid w:val="00DA234D"/>
    <w:rsid w:val="00DA4BC3"/>
    <w:rsid w:val="00DA79EF"/>
    <w:rsid w:val="00DB00FD"/>
    <w:rsid w:val="00DB0449"/>
    <w:rsid w:val="00DB42EF"/>
    <w:rsid w:val="00DB5369"/>
    <w:rsid w:val="00DB7137"/>
    <w:rsid w:val="00DB788F"/>
    <w:rsid w:val="00DB7E45"/>
    <w:rsid w:val="00DC0402"/>
    <w:rsid w:val="00DC4835"/>
    <w:rsid w:val="00DC546E"/>
    <w:rsid w:val="00DC580C"/>
    <w:rsid w:val="00DC5855"/>
    <w:rsid w:val="00DC61A2"/>
    <w:rsid w:val="00DC7B6A"/>
    <w:rsid w:val="00DC7C2D"/>
    <w:rsid w:val="00DD106F"/>
    <w:rsid w:val="00DD1136"/>
    <w:rsid w:val="00DD2C98"/>
    <w:rsid w:val="00DD3004"/>
    <w:rsid w:val="00DD3BDA"/>
    <w:rsid w:val="00DD6AA3"/>
    <w:rsid w:val="00DE2427"/>
    <w:rsid w:val="00DE2F82"/>
    <w:rsid w:val="00DE3331"/>
    <w:rsid w:val="00DE40B0"/>
    <w:rsid w:val="00DE4289"/>
    <w:rsid w:val="00DE4CBF"/>
    <w:rsid w:val="00DE5CC6"/>
    <w:rsid w:val="00DE6110"/>
    <w:rsid w:val="00DE6830"/>
    <w:rsid w:val="00DE781E"/>
    <w:rsid w:val="00DE7D06"/>
    <w:rsid w:val="00DF021D"/>
    <w:rsid w:val="00DF1E04"/>
    <w:rsid w:val="00DF2655"/>
    <w:rsid w:val="00DF4B6D"/>
    <w:rsid w:val="00DF7704"/>
    <w:rsid w:val="00E00567"/>
    <w:rsid w:val="00E00793"/>
    <w:rsid w:val="00E00AAD"/>
    <w:rsid w:val="00E00E94"/>
    <w:rsid w:val="00E015E3"/>
    <w:rsid w:val="00E016C3"/>
    <w:rsid w:val="00E019C8"/>
    <w:rsid w:val="00E02412"/>
    <w:rsid w:val="00E02DD8"/>
    <w:rsid w:val="00E03129"/>
    <w:rsid w:val="00E032EF"/>
    <w:rsid w:val="00E03DCB"/>
    <w:rsid w:val="00E04382"/>
    <w:rsid w:val="00E12948"/>
    <w:rsid w:val="00E12C1B"/>
    <w:rsid w:val="00E13A26"/>
    <w:rsid w:val="00E16A24"/>
    <w:rsid w:val="00E17060"/>
    <w:rsid w:val="00E207A3"/>
    <w:rsid w:val="00E22A2B"/>
    <w:rsid w:val="00E237D6"/>
    <w:rsid w:val="00E2507D"/>
    <w:rsid w:val="00E25F6E"/>
    <w:rsid w:val="00E34793"/>
    <w:rsid w:val="00E35190"/>
    <w:rsid w:val="00E379F3"/>
    <w:rsid w:val="00E415D5"/>
    <w:rsid w:val="00E41A88"/>
    <w:rsid w:val="00E42A19"/>
    <w:rsid w:val="00E42D90"/>
    <w:rsid w:val="00E44EEB"/>
    <w:rsid w:val="00E456AD"/>
    <w:rsid w:val="00E4577C"/>
    <w:rsid w:val="00E45DC4"/>
    <w:rsid w:val="00E462A4"/>
    <w:rsid w:val="00E46B0C"/>
    <w:rsid w:val="00E4747C"/>
    <w:rsid w:val="00E47A51"/>
    <w:rsid w:val="00E50645"/>
    <w:rsid w:val="00E50F31"/>
    <w:rsid w:val="00E51ECB"/>
    <w:rsid w:val="00E54352"/>
    <w:rsid w:val="00E544CC"/>
    <w:rsid w:val="00E570BF"/>
    <w:rsid w:val="00E572EB"/>
    <w:rsid w:val="00E57396"/>
    <w:rsid w:val="00E574DC"/>
    <w:rsid w:val="00E60F85"/>
    <w:rsid w:val="00E61A0A"/>
    <w:rsid w:val="00E63286"/>
    <w:rsid w:val="00E64432"/>
    <w:rsid w:val="00E65CD0"/>
    <w:rsid w:val="00E65D50"/>
    <w:rsid w:val="00E6655B"/>
    <w:rsid w:val="00E72010"/>
    <w:rsid w:val="00E7201D"/>
    <w:rsid w:val="00E7346D"/>
    <w:rsid w:val="00E74AB7"/>
    <w:rsid w:val="00E77E96"/>
    <w:rsid w:val="00E80C41"/>
    <w:rsid w:val="00E85EE4"/>
    <w:rsid w:val="00E863B9"/>
    <w:rsid w:val="00E87215"/>
    <w:rsid w:val="00E909FB"/>
    <w:rsid w:val="00E90D75"/>
    <w:rsid w:val="00E91367"/>
    <w:rsid w:val="00E94269"/>
    <w:rsid w:val="00E9641D"/>
    <w:rsid w:val="00EA33E2"/>
    <w:rsid w:val="00EA3B9B"/>
    <w:rsid w:val="00EA65E9"/>
    <w:rsid w:val="00EA7C81"/>
    <w:rsid w:val="00EA7ECE"/>
    <w:rsid w:val="00EB0576"/>
    <w:rsid w:val="00EB2029"/>
    <w:rsid w:val="00EB28B9"/>
    <w:rsid w:val="00EB2DD9"/>
    <w:rsid w:val="00EB4074"/>
    <w:rsid w:val="00EB46F2"/>
    <w:rsid w:val="00EB6AEE"/>
    <w:rsid w:val="00EB777F"/>
    <w:rsid w:val="00EC0DFE"/>
    <w:rsid w:val="00EC114E"/>
    <w:rsid w:val="00EC2DA1"/>
    <w:rsid w:val="00EC49A1"/>
    <w:rsid w:val="00EC49B4"/>
    <w:rsid w:val="00EC5BAB"/>
    <w:rsid w:val="00EC6A7A"/>
    <w:rsid w:val="00EC6AEF"/>
    <w:rsid w:val="00EC7BFD"/>
    <w:rsid w:val="00ED1A9E"/>
    <w:rsid w:val="00ED25EE"/>
    <w:rsid w:val="00ED3C08"/>
    <w:rsid w:val="00ED3F94"/>
    <w:rsid w:val="00EE0402"/>
    <w:rsid w:val="00EE10B8"/>
    <w:rsid w:val="00EE2829"/>
    <w:rsid w:val="00EE29D3"/>
    <w:rsid w:val="00EE2ED3"/>
    <w:rsid w:val="00EF1F85"/>
    <w:rsid w:val="00EF27A5"/>
    <w:rsid w:val="00EF422B"/>
    <w:rsid w:val="00EF4BC3"/>
    <w:rsid w:val="00EF51E2"/>
    <w:rsid w:val="00EF524F"/>
    <w:rsid w:val="00F00DFE"/>
    <w:rsid w:val="00F01406"/>
    <w:rsid w:val="00F0166B"/>
    <w:rsid w:val="00F018BD"/>
    <w:rsid w:val="00F01CC0"/>
    <w:rsid w:val="00F063C7"/>
    <w:rsid w:val="00F10E16"/>
    <w:rsid w:val="00F121BC"/>
    <w:rsid w:val="00F12EA0"/>
    <w:rsid w:val="00F145ED"/>
    <w:rsid w:val="00F150E3"/>
    <w:rsid w:val="00F15B9B"/>
    <w:rsid w:val="00F16D30"/>
    <w:rsid w:val="00F17E10"/>
    <w:rsid w:val="00F204F0"/>
    <w:rsid w:val="00F209BA"/>
    <w:rsid w:val="00F20D3A"/>
    <w:rsid w:val="00F21116"/>
    <w:rsid w:val="00F21863"/>
    <w:rsid w:val="00F22821"/>
    <w:rsid w:val="00F24D80"/>
    <w:rsid w:val="00F26024"/>
    <w:rsid w:val="00F2662E"/>
    <w:rsid w:val="00F26ACD"/>
    <w:rsid w:val="00F26BEC"/>
    <w:rsid w:val="00F27740"/>
    <w:rsid w:val="00F32A19"/>
    <w:rsid w:val="00F34C14"/>
    <w:rsid w:val="00F35E98"/>
    <w:rsid w:val="00F37F5D"/>
    <w:rsid w:val="00F40DAA"/>
    <w:rsid w:val="00F41C5B"/>
    <w:rsid w:val="00F42EA0"/>
    <w:rsid w:val="00F434A7"/>
    <w:rsid w:val="00F505D0"/>
    <w:rsid w:val="00F51AC4"/>
    <w:rsid w:val="00F5331F"/>
    <w:rsid w:val="00F549F3"/>
    <w:rsid w:val="00F56407"/>
    <w:rsid w:val="00F565E6"/>
    <w:rsid w:val="00F5745E"/>
    <w:rsid w:val="00F60FEF"/>
    <w:rsid w:val="00F630A5"/>
    <w:rsid w:val="00F65C2B"/>
    <w:rsid w:val="00F677B4"/>
    <w:rsid w:val="00F67A8B"/>
    <w:rsid w:val="00F72E90"/>
    <w:rsid w:val="00F733C4"/>
    <w:rsid w:val="00F73846"/>
    <w:rsid w:val="00F744FD"/>
    <w:rsid w:val="00F7453D"/>
    <w:rsid w:val="00F74879"/>
    <w:rsid w:val="00F74CC8"/>
    <w:rsid w:val="00F757D7"/>
    <w:rsid w:val="00F7662D"/>
    <w:rsid w:val="00F76797"/>
    <w:rsid w:val="00F7696C"/>
    <w:rsid w:val="00F803B8"/>
    <w:rsid w:val="00F85B0D"/>
    <w:rsid w:val="00F86050"/>
    <w:rsid w:val="00F86F21"/>
    <w:rsid w:val="00F90539"/>
    <w:rsid w:val="00F92BD2"/>
    <w:rsid w:val="00F92F62"/>
    <w:rsid w:val="00F9310D"/>
    <w:rsid w:val="00F938A9"/>
    <w:rsid w:val="00FA0785"/>
    <w:rsid w:val="00FA0AF4"/>
    <w:rsid w:val="00FA1BD7"/>
    <w:rsid w:val="00FA3348"/>
    <w:rsid w:val="00FA3C5D"/>
    <w:rsid w:val="00FA6C9E"/>
    <w:rsid w:val="00FB0CD5"/>
    <w:rsid w:val="00FB0D74"/>
    <w:rsid w:val="00FB1B98"/>
    <w:rsid w:val="00FB284B"/>
    <w:rsid w:val="00FB4A65"/>
    <w:rsid w:val="00FB597F"/>
    <w:rsid w:val="00FB5BC7"/>
    <w:rsid w:val="00FB73FA"/>
    <w:rsid w:val="00FC1BE2"/>
    <w:rsid w:val="00FC2CF4"/>
    <w:rsid w:val="00FC3CD1"/>
    <w:rsid w:val="00FC728E"/>
    <w:rsid w:val="00FC7C77"/>
    <w:rsid w:val="00FD402E"/>
    <w:rsid w:val="00FD5699"/>
    <w:rsid w:val="00FD680E"/>
    <w:rsid w:val="00FD7D0D"/>
    <w:rsid w:val="00FE035F"/>
    <w:rsid w:val="00FE1474"/>
    <w:rsid w:val="00FE3F5C"/>
    <w:rsid w:val="00FE66D1"/>
    <w:rsid w:val="00FE7B17"/>
    <w:rsid w:val="00FF0301"/>
    <w:rsid w:val="00FF4657"/>
    <w:rsid w:val="00FF4C33"/>
    <w:rsid w:val="00FF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d4d4d,#333,#292929,#111,#08080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D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sz w:val="2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32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ind w:firstLine="720"/>
      <w:jc w:val="both"/>
      <w:outlineLvl w:val="6"/>
    </w:pPr>
    <w:rPr>
      <w:b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4680"/>
      </w:tabs>
      <w:jc w:val="both"/>
      <w:outlineLvl w:val="7"/>
    </w:pPr>
    <w:rPr>
      <w:b/>
      <w:color w:val="000000"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BodyText2">
    <w:name w:val="Body Text 2"/>
    <w:basedOn w:val="Normal"/>
    <w:pPr>
      <w:jc w:val="both"/>
    </w:pPr>
    <w:rPr>
      <w:color w:val="000000"/>
      <w:szCs w:val="20"/>
    </w:rPr>
  </w:style>
  <w:style w:type="paragraph" w:styleId="BodyTextIndent3">
    <w:name w:val="Body Text Indent 3"/>
    <w:basedOn w:val="Normal"/>
    <w:pPr>
      <w:ind w:firstLine="720"/>
      <w:jc w:val="both"/>
    </w:pPr>
    <w:rPr>
      <w:sz w:val="28"/>
      <w:szCs w:val="20"/>
    </w:rPr>
  </w:style>
  <w:style w:type="paragraph" w:styleId="BodyTextIndent2">
    <w:name w:val="Body Text Indent 2"/>
    <w:basedOn w:val="Normal"/>
    <w:pPr>
      <w:ind w:firstLine="720"/>
      <w:jc w:val="both"/>
    </w:pPr>
    <w:rPr>
      <w:szCs w:val="20"/>
    </w:rPr>
  </w:style>
  <w:style w:type="paragraph" w:styleId="BodyTextIndent">
    <w:name w:val="Body Text Indent"/>
    <w:basedOn w:val="Normal"/>
    <w:pPr>
      <w:jc w:val="both"/>
    </w:pPr>
    <w:rPr>
      <w:b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rPr>
      <w:szCs w:val="20"/>
    </w:rPr>
  </w:style>
  <w:style w:type="paragraph" w:styleId="ListNumber">
    <w:name w:val="List Number"/>
    <w:basedOn w:val="List"/>
    <w:pPr>
      <w:spacing w:after="240" w:line="240" w:lineRule="atLeast"/>
      <w:ind w:left="1440"/>
      <w:jc w:val="both"/>
    </w:pPr>
    <w:rPr>
      <w:rFonts w:ascii="Arial" w:hAnsi="Arial"/>
      <w:spacing w:val="-5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customStyle="1" w:styleId="CompanyName">
    <w:name w:val="Company Name"/>
    <w:basedOn w:val="Normal"/>
    <w:rsid w:val="00941308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</w:rPr>
  </w:style>
  <w:style w:type="paragraph" w:customStyle="1" w:styleId="TitleCover">
    <w:name w:val="Title Cover"/>
    <w:basedOn w:val="Normal"/>
    <w:next w:val="Normal"/>
    <w:rsid w:val="00941308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kern w:val="28"/>
      <w:sz w:val="64"/>
      <w:szCs w:val="20"/>
    </w:rPr>
  </w:style>
  <w:style w:type="paragraph" w:customStyle="1" w:styleId="ReturnAddress">
    <w:name w:val="Return Address"/>
    <w:basedOn w:val="Normal"/>
    <w:rsid w:val="00941308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customStyle="1" w:styleId="SubtitleCover">
    <w:name w:val="Subtitle Cover"/>
    <w:basedOn w:val="TitleCover"/>
    <w:next w:val="BodyText"/>
    <w:rsid w:val="00941308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paragraph" w:styleId="BalloonText">
    <w:name w:val="Balloon Text"/>
    <w:basedOn w:val="Normal"/>
    <w:semiHidden/>
    <w:rsid w:val="007B1F59"/>
    <w:rPr>
      <w:rFonts w:ascii="Tahoma" w:hAnsi="Tahoma" w:cs="Tahoma"/>
      <w:sz w:val="16"/>
      <w:szCs w:val="16"/>
    </w:rPr>
  </w:style>
  <w:style w:type="paragraph" w:customStyle="1" w:styleId="StyleJustified1">
    <w:name w:val="Style Justified1"/>
    <w:basedOn w:val="Normal"/>
    <w:rsid w:val="002E6D5B"/>
    <w:pPr>
      <w:jc w:val="both"/>
    </w:pPr>
    <w:rPr>
      <w:rFonts w:ascii="Garamond" w:hAnsi="Garamond"/>
      <w:sz w:val="22"/>
      <w:szCs w:val="20"/>
    </w:rPr>
  </w:style>
  <w:style w:type="paragraph" w:customStyle="1" w:styleId="Paragrafi">
    <w:name w:val="Paragrafi"/>
    <w:rsid w:val="00BB0D7E"/>
    <w:pPr>
      <w:widowControl w:val="0"/>
      <w:ind w:firstLine="720"/>
      <w:jc w:val="both"/>
    </w:pPr>
    <w:rPr>
      <w:rFonts w:ascii="CG Times" w:hAnsi="CG Times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3000C"/>
  </w:style>
  <w:style w:type="character" w:customStyle="1" w:styleId="HeaderChar">
    <w:name w:val="Header Char"/>
    <w:basedOn w:val="DefaultParagraphFont"/>
    <w:link w:val="Header"/>
    <w:uiPriority w:val="99"/>
    <w:rsid w:val="004479DC"/>
    <w:rPr>
      <w:sz w:val="24"/>
    </w:rPr>
  </w:style>
  <w:style w:type="paragraph" w:styleId="TOC2">
    <w:name w:val="toc 2"/>
    <w:basedOn w:val="Normal"/>
    <w:next w:val="Normal"/>
    <w:autoRedefine/>
    <w:rsid w:val="00BD2E81"/>
    <w:pPr>
      <w:numPr>
        <w:numId w:val="2"/>
      </w:numPr>
      <w:tabs>
        <w:tab w:val="clear" w:pos="720"/>
        <w:tab w:val="num" w:pos="360"/>
        <w:tab w:val="right" w:leader="dot" w:pos="8300"/>
      </w:tabs>
      <w:ind w:left="360"/>
    </w:pPr>
    <w:rPr>
      <w:rFonts w:ascii="Times" w:hAnsi="Times"/>
      <w:smallCaps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B90429"/>
    <w:rPr>
      <w:sz w:val="24"/>
      <w:lang w:val="en-GB"/>
    </w:rPr>
  </w:style>
  <w:style w:type="character" w:styleId="CommentReference">
    <w:name w:val="annotation reference"/>
    <w:basedOn w:val="DefaultParagraphFont"/>
    <w:semiHidden/>
    <w:rsid w:val="006E37FE"/>
    <w:rPr>
      <w:sz w:val="16"/>
      <w:szCs w:val="16"/>
    </w:rPr>
  </w:style>
  <w:style w:type="paragraph" w:styleId="CommentText">
    <w:name w:val="annotation text"/>
    <w:basedOn w:val="Normal"/>
    <w:semiHidden/>
    <w:rsid w:val="006E37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37FE"/>
    <w:rPr>
      <w:b/>
      <w:bCs/>
    </w:rPr>
  </w:style>
  <w:style w:type="paragraph" w:styleId="Caption">
    <w:name w:val="caption"/>
    <w:basedOn w:val="Normal"/>
    <w:next w:val="Normal"/>
    <w:unhideWhenUsed/>
    <w:qFormat/>
    <w:rsid w:val="002D018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34" Type="http://schemas.openxmlformats.org/officeDocument/2006/relationships/image" Target="media/image14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33" Type="http://schemas.openxmlformats.org/officeDocument/2006/relationships/oleObject" Target="embeddings/Microsoft_Office_Excel_97-2003_Worksheet13.xls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Office_Excel_97-2003_Worksheet11.xls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Microsoft_Office_Excel_97-2003_Worksheet15.xls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oleObject" Target="embeddings/Microsoft_Office_Excel_97-2003_Worksheet12.xls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Office_Excel_97-2003_Worksheet10.xls"/><Relationship Id="rId30" Type="http://schemas.openxmlformats.org/officeDocument/2006/relationships/image" Target="media/image12.emf"/><Relationship Id="rId35" Type="http://schemas.openxmlformats.org/officeDocument/2006/relationships/oleObject" Target="embeddings/Microsoft_Office_Excel_97-2003_Worksheet14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5BF2-D453-4338-BBC7-945700B8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</dc:creator>
  <cp:lastModifiedBy>User</cp:lastModifiedBy>
  <cp:revision>2</cp:revision>
  <cp:lastPrinted>2013-03-25T13:07:00Z</cp:lastPrinted>
  <dcterms:created xsi:type="dcterms:W3CDTF">2021-12-11T15:04:00Z</dcterms:created>
  <dcterms:modified xsi:type="dcterms:W3CDTF">2021-12-11T15:04:00Z</dcterms:modified>
</cp:coreProperties>
</file>